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2</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R2-2</w:t>
      </w:r>
      <w:r>
        <w:rPr>
          <w:rFonts w:hint="eastAsia" w:ascii="Arial" w:hAnsi="Arial" w:eastAsia="宋体" w:cs="Arial"/>
          <w:b/>
          <w:kern w:val="0"/>
          <w:sz w:val="24"/>
          <w:szCs w:val="24"/>
        </w:rPr>
        <w:t>50</w:t>
      </w:r>
      <w:r>
        <w:rPr>
          <w:rFonts w:hint="eastAsia" w:ascii="Arial" w:hAnsi="Arial" w:eastAsia="宋体" w:cs="Arial"/>
          <w:b/>
          <w:kern w:val="0"/>
          <w:sz w:val="24"/>
          <w:szCs w:val="24"/>
          <w:lang w:val="en-US" w:eastAsia="zh-CN"/>
        </w:rPr>
        <w:t>8843</w:t>
      </w:r>
    </w:p>
    <w:p w14:paraId="7709B37C">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Dallas</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US, 17</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Nov,</w:t>
      </w:r>
      <w:r>
        <w:rPr>
          <w:rFonts w:hint="eastAsia" w:ascii="Arial" w:hAnsi="Arial" w:eastAsia="宋体" w:cs="Arial"/>
          <w:b/>
          <w:bCs/>
          <w:kern w:val="0"/>
          <w:sz w:val="24"/>
          <w:szCs w:val="24"/>
        </w:rPr>
        <w:t xml:space="preserve"> 2025</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10</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w:t>
      </w:r>
      <w:r>
        <w:rPr>
          <w:rFonts w:ascii="Arial" w:hAnsi="Arial" w:eastAsia="宋体" w:cs="Arial"/>
          <w:b/>
          <w:bCs/>
          <w:kern w:val="0"/>
          <w:sz w:val="24"/>
          <w:szCs w:val="20"/>
          <w:lang w:val="en-GB" w:eastAsia="en-US"/>
        </w:rPr>
        <w:t xml:space="preserve"> on</w:t>
      </w:r>
      <w:r>
        <w:rPr>
          <w:rFonts w:hint="eastAsia" w:ascii="Arial" w:hAnsi="Arial" w:eastAsia="宋体" w:cs="Arial"/>
          <w:b/>
          <w:bCs/>
          <w:kern w:val="0"/>
          <w:sz w:val="24"/>
          <w:szCs w:val="20"/>
        </w:rPr>
        <w:t xml:space="preserve"> data </w:t>
      </w:r>
      <w:r>
        <w:rPr>
          <w:rFonts w:hint="eastAsia" w:ascii="Arial" w:hAnsi="Arial" w:eastAsia="宋体" w:cs="Arial"/>
          <w:b/>
          <w:bCs/>
          <w:kern w:val="0"/>
          <w:sz w:val="24"/>
          <w:szCs w:val="20"/>
          <w:lang w:val="en-US" w:eastAsia="zh-CN"/>
        </w:rPr>
        <w:t>collection and transfer framework</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FS_6G_Radio</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last meeting [1], RAN2 discussed requirements on AI/ML data collection/management/transfer, framework, and achieved the following agreements: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BB61BCB">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b/>
                <w:bCs/>
              </w:rPr>
            </w:pPr>
            <w:r>
              <w:rPr>
                <w:rFonts w:hint="default" w:ascii="Times New Roman" w:hAnsi="Times New Roman" w:cs="Times New Roman"/>
                <w:b/>
                <w:bCs/>
              </w:rPr>
              <w:t>Agreements</w:t>
            </w:r>
          </w:p>
          <w:p w14:paraId="6454FBB5">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1.  Study the standardized data collection framework with these requirements as a baseline at least for AI/ML</w:t>
            </w:r>
          </w:p>
          <w:p w14:paraId="2B493B1A">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The data collected is secured and data integrity and confidentiality for that data is ensured.</w:t>
            </w:r>
          </w:p>
          <w:p w14:paraId="336D20F3">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User data privacy, anonymity and user consent is respected.</w:t>
            </w:r>
          </w:p>
          <w:p w14:paraId="7C95CF35">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The MNO has full control of the standardized data collection transfer process and can manage data transfer to the server for UE side data collection, without the need of Service Level Agreement (SLA) for this purpose</w:t>
            </w:r>
          </w:p>
          <w:p w14:paraId="1A3B28A8">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 xml:space="preserve">This includes initiating, terminating, and fully managing data transfer. </w:t>
            </w:r>
          </w:p>
          <w:p w14:paraId="6A936702">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MNO has full visibility for standardized data.</w:t>
            </w:r>
          </w:p>
          <w:p w14:paraId="33E3977C">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 xml:space="preserve">The design is future-proof and extendable. </w:t>
            </w:r>
          </w:p>
          <w:p w14:paraId="3D374F22">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The UE data collection should minimize impact to the UE battery, UE processing and memory utilization.</w:t>
            </w:r>
          </w:p>
          <w:p w14:paraId="0DE39216">
            <w:pPr>
              <w:pStyle w:val="29"/>
              <w:keepNext w:val="0"/>
              <w:keepLines w:val="0"/>
              <w:pageBreakBefore w:val="0"/>
              <w:widowControl w:val="0"/>
              <w:numPr>
                <w:ilvl w:val="0"/>
                <w:numId w:val="6"/>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UE data collection should minimize impact to user traffic transmission and power saving features</w:t>
            </w:r>
          </w:p>
          <w:p w14:paraId="6E681B73">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ab/>
            </w:r>
            <w:r>
              <w:rPr>
                <w:rFonts w:hint="default" w:ascii="Times New Roman" w:hAnsi="Times New Roman" w:cs="Times New Roman"/>
              </w:rPr>
              <w:t xml:space="preserve">These requirements can apply to both UE and NW sided data collection.  FFS if some don’t apply to both.   </w:t>
            </w:r>
          </w:p>
          <w:p w14:paraId="2AF1F33B">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 xml:space="preserve">Study further requirements of other non-AI/ML use cases/services and understand if we can have more common requirements across different use cases.   </w:t>
            </w:r>
          </w:p>
          <w:p w14:paraId="1F0CDA01">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 xml:space="preserve">Study termination points (i.e. understand who are producers, consumers of the data, data collection points.  Understand requirements of use cases sensing, aI/ml, son/mdt, QoE etc) and protocol used for data transfer (e.g. IP vs. non-IP). </w:t>
            </w:r>
          </w:p>
          <w:p w14:paraId="4F734C83">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 xml:space="preserve">Study model transfer/delivery requirements/functions </w:t>
            </w:r>
          </w:p>
          <w:p w14:paraId="45CD93BE">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b/>
                <w:bCs/>
              </w:rPr>
            </w:pPr>
            <w:r>
              <w:rPr>
                <w:rFonts w:hint="default" w:ascii="Times New Roman" w:hAnsi="Times New Roman" w:cs="Times New Roman"/>
                <w:b/>
                <w:bCs/>
              </w:rPr>
              <w:t>Agreements on LCM</w:t>
            </w:r>
          </w:p>
          <w:p w14:paraId="7AA9BC1B">
            <w:pPr>
              <w:pStyle w:val="29"/>
              <w:keepNext w:val="0"/>
              <w:keepLines w:val="0"/>
              <w:pageBreakBefore w:val="0"/>
              <w:widowControl w:val="0"/>
              <w:kinsoku/>
              <w:wordWrap/>
              <w:overflowPunct/>
              <w:topLinePunct w:val="0"/>
              <w:autoSpaceDE/>
              <w:autoSpaceDN/>
              <w:bidi w:val="0"/>
              <w:adjustRightInd/>
              <w:snapToGrid/>
              <w:spacing w:before="60"/>
              <w:ind w:left="363"/>
              <w:textAlignment w:val="auto"/>
              <w:rPr>
                <w:rFonts w:hint="default" w:ascii="Times New Roman" w:hAnsi="Times New Roman" w:cs="Times New Roman"/>
              </w:rPr>
            </w:pPr>
            <w:r>
              <w:rPr>
                <w:rFonts w:hint="default" w:ascii="Times New Roman" w:hAnsi="Times New Roman" w:cs="Times New Roman"/>
              </w:rPr>
              <w:t xml:space="preserve">Study 6G AI/ML LCM framework that supports at least the following functions/procedures: </w:t>
            </w:r>
          </w:p>
          <w:p w14:paraId="5CA26113">
            <w:pPr>
              <w:pStyle w:val="29"/>
              <w:keepNext w:val="0"/>
              <w:keepLines w:val="0"/>
              <w:pageBreakBefore w:val="0"/>
              <w:widowControl w:val="0"/>
              <w:numPr>
                <w:ilvl w:val="0"/>
                <w:numId w:val="7"/>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UE AI/ML Capabilities Exchange;</w:t>
            </w:r>
          </w:p>
          <w:p w14:paraId="5C730D1D">
            <w:pPr>
              <w:pStyle w:val="29"/>
              <w:keepNext w:val="0"/>
              <w:keepLines w:val="0"/>
              <w:pageBreakBefore w:val="0"/>
              <w:widowControl w:val="0"/>
              <w:numPr>
                <w:ilvl w:val="0"/>
                <w:numId w:val="7"/>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Applicable Functionality Reporting;</w:t>
            </w:r>
          </w:p>
          <w:p w14:paraId="44CAEB00">
            <w:pPr>
              <w:pStyle w:val="29"/>
              <w:keepNext w:val="0"/>
              <w:keepLines w:val="0"/>
              <w:pageBreakBefore w:val="0"/>
              <w:widowControl w:val="0"/>
              <w:numPr>
                <w:ilvl w:val="0"/>
                <w:numId w:val="7"/>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Inference Configuration and Reporting;</w:t>
            </w:r>
          </w:p>
          <w:p w14:paraId="37A63432">
            <w:pPr>
              <w:pStyle w:val="29"/>
              <w:keepNext w:val="0"/>
              <w:keepLines w:val="0"/>
              <w:pageBreakBefore w:val="0"/>
              <w:widowControl w:val="0"/>
              <w:numPr>
                <w:ilvl w:val="0"/>
                <w:numId w:val="7"/>
              </w:numPr>
              <w:kinsoku/>
              <w:wordWrap/>
              <w:overflowPunct/>
              <w:topLinePunct w:val="0"/>
              <w:autoSpaceDE/>
              <w:autoSpaceDN/>
              <w:bidi w:val="0"/>
              <w:adjustRightInd/>
              <w:snapToGrid/>
              <w:spacing w:before="60"/>
              <w:ind w:left="720"/>
              <w:textAlignment w:val="auto"/>
              <w:rPr>
                <w:rFonts w:hint="default" w:ascii="Times New Roman" w:hAnsi="Times New Roman" w:cs="Times New Roman"/>
              </w:rPr>
            </w:pPr>
            <w:r>
              <w:rPr>
                <w:rFonts w:hint="default" w:ascii="Times New Roman" w:hAnsi="Times New Roman" w:cs="Times New Roman"/>
              </w:rPr>
              <w:t>Performance Monitoring Configuration and Reporting;</w:t>
            </w:r>
          </w:p>
          <w:p w14:paraId="7F040F7E">
            <w:pPr>
              <w:pStyle w:val="29"/>
              <w:keepNext w:val="0"/>
              <w:keepLines w:val="0"/>
              <w:pageBreakBefore w:val="0"/>
              <w:widowControl w:val="0"/>
              <w:numPr>
                <w:ilvl w:val="0"/>
                <w:numId w:val="7"/>
              </w:numPr>
              <w:kinsoku/>
              <w:wordWrap/>
              <w:overflowPunct/>
              <w:topLinePunct w:val="0"/>
              <w:autoSpaceDE/>
              <w:autoSpaceDN/>
              <w:bidi w:val="0"/>
              <w:adjustRightInd/>
              <w:snapToGrid/>
              <w:spacing w:before="60"/>
              <w:ind w:left="720"/>
              <w:textAlignment w:val="auto"/>
              <w:rPr>
                <w:rFonts w:hint="default" w:ascii="Times New Roman" w:hAnsi="Times New Roman" w:cs="Times New Roman"/>
                <w:lang w:val="en-GB" w:eastAsia="en-US"/>
              </w:rPr>
            </w:pPr>
            <w:r>
              <w:rPr>
                <w:rFonts w:hint="default" w:ascii="Times New Roman" w:hAnsi="Times New Roman" w:cs="Times New Roman"/>
              </w:rPr>
              <w:t>Functionality (De-)Activation and Fallback/Switching to the AI/ML/non-AI/ML Functionality;</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rPr>
        <w:t xml:space="preserve">discuss </w:t>
      </w:r>
      <w:r>
        <w:rPr>
          <w:rFonts w:hint="eastAsia" w:ascii="Arial" w:hAnsi="Arial" w:eastAsia="宋体" w:cs="Arial"/>
          <w:kern w:val="0"/>
          <w:sz w:val="21"/>
          <w:szCs w:val="21"/>
          <w:lang w:val="en-US" w:eastAsia="zh-CN"/>
        </w:rPr>
        <w:t xml:space="preserve">transfer of diverse types of data (e.g., AI/ML related data, sensing data, QoE, SON/MDT, etc) and understanding of its services/use case scenarios, requirements, end point pairs, size and frequency of reporting, etc. </w:t>
      </w:r>
    </w:p>
    <w:p w14:paraId="51C81290">
      <w:pPr>
        <w:keepNext/>
        <w:keepLines/>
        <w:widowControl/>
        <w:numPr>
          <w:ilvl w:val="0"/>
          <w:numId w:val="8"/>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06C9BE92">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eastAsiaTheme="minorEastAsia"/>
          <w:b/>
          <w:szCs w:val="21"/>
          <w:lang w:val="en-US" w:eastAsia="zh-CN" w:bidi="ar"/>
        </w:rPr>
      </w:pPr>
      <w:r>
        <w:rPr>
          <w:rFonts w:hint="eastAsia" w:ascii="Arial" w:hAnsi="Arial" w:cs="Arial"/>
          <w:b/>
          <w:bCs w:val="0"/>
          <w:sz w:val="28"/>
          <w:szCs w:val="28"/>
          <w:lang w:val="en-US" w:eastAsia="zh-CN"/>
        </w:rPr>
        <w:t xml:space="preserve">2.1 </w:t>
      </w:r>
      <w:r>
        <w:rPr>
          <w:rFonts w:hint="eastAsia" w:ascii="Arial" w:hAnsi="Arial" w:cs="Arial"/>
          <w:b/>
          <w:bCs w:val="0"/>
          <w:i w:val="0"/>
          <w:iCs w:val="0"/>
          <w:sz w:val="28"/>
          <w:szCs w:val="28"/>
          <w:lang w:val="en-US" w:eastAsia="zh-CN" w:bidi="ar"/>
        </w:rPr>
        <w:t>AI/ML</w:t>
      </w:r>
    </w:p>
    <w:p w14:paraId="05D0EF7C">
      <w:pPr>
        <w:numPr>
          <w:ilvl w:val="-1"/>
          <w:numId w:val="0"/>
        </w:numPr>
        <w:spacing w:after="120" w:afterLines="50"/>
        <w:ind w:left="0" w:leftChars="0" w:firstLine="0" w:firstLineChars="0"/>
        <w:outlineLvl w:val="2"/>
        <w:rPr>
          <w:rFonts w:hint="default" w:ascii="Arial" w:hAnsi="Arial" w:cs="Arial" w:eastAsiaTheme="minorEastAsia"/>
          <w:b/>
          <w:bCs w:val="0"/>
          <w:sz w:val="24"/>
          <w:szCs w:val="24"/>
          <w:lang w:val="en-US" w:eastAsia="zh-CN" w:bidi="ar"/>
        </w:rPr>
      </w:pPr>
      <w:r>
        <w:rPr>
          <w:rFonts w:hint="eastAsia" w:ascii="Arial" w:hAnsi="Arial" w:cs="Arial"/>
          <w:b/>
          <w:bCs w:val="0"/>
          <w:i w:val="0"/>
          <w:iCs w:val="0"/>
          <w:sz w:val="24"/>
          <w:szCs w:val="24"/>
          <w:lang w:val="en-US" w:eastAsia="zh-CN" w:bidi="ar"/>
        </w:rPr>
        <w:t xml:space="preserve">2.1.1 </w:t>
      </w:r>
      <w:r>
        <w:rPr>
          <w:rFonts w:hint="eastAsia" w:ascii="Arial" w:hAnsi="Arial" w:cs="Arial"/>
          <w:b/>
          <w:bCs w:val="0"/>
          <w:i w:val="0"/>
          <w:iCs w:val="0"/>
          <w:sz w:val="24"/>
          <w:szCs w:val="24"/>
          <w:highlight w:val="none"/>
          <w:lang w:val="en-US" w:eastAsia="zh-CN" w:bidi="ar"/>
        </w:rPr>
        <w:t>Data type and termination points</w:t>
      </w:r>
    </w:p>
    <w:p w14:paraId="51E9C578">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 xml:space="preserve">During R18/R19 study on AI/ML PHY and AI Mob, RAN2 discussed the data collection for UE-sided model, NW-sided model (including gNB-sided model and LMF-sided model), and two-sided model for different use cases. </w:t>
      </w:r>
    </w:p>
    <w:p w14:paraId="3106FA00">
      <w:pPr>
        <w:spacing w:before="120" w:beforeLines="50" w:after="120" w:line="260" w:lineRule="exact"/>
        <w:jc w:val="center"/>
        <w:rPr>
          <w:rFonts w:hint="default" w:ascii="Arial" w:hAnsi="Arial" w:cs="Arial"/>
          <w:sz w:val="21"/>
          <w:szCs w:val="21"/>
          <w:lang w:val="en-US" w:eastAsia="zh-CN"/>
        </w:rPr>
      </w:pPr>
      <w:r>
        <w:rPr>
          <w:rFonts w:hint="eastAsia" w:ascii="Arial" w:hAnsi="Arial" w:cs="Arial"/>
          <w:b/>
          <w:bCs/>
          <w:sz w:val="21"/>
          <w:szCs w:val="21"/>
          <w:lang w:val="en-US" w:eastAsia="zh-CN"/>
        </w:rPr>
        <w:t>Table 1. AI/ML model type and applicable use cases in 5G-A</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7"/>
        <w:gridCol w:w="4615"/>
      </w:tblGrid>
      <w:tr w14:paraId="67FD6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6B6E6AE7">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Model type</w:t>
            </w:r>
          </w:p>
        </w:tc>
        <w:tc>
          <w:tcPr>
            <w:tcW w:w="4615" w:type="dxa"/>
          </w:tcPr>
          <w:p w14:paraId="52225D2C">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b/>
                <w:bCs/>
                <w:sz w:val="21"/>
                <w:szCs w:val="21"/>
                <w:vertAlign w:val="baseline"/>
                <w:lang w:val="en-US" w:eastAsia="zh-CN"/>
              </w:rPr>
            </w:pPr>
            <w:r>
              <w:rPr>
                <w:rFonts w:hint="eastAsia" w:ascii="Arial" w:hAnsi="Arial" w:cs="Arial"/>
                <w:b/>
                <w:bCs/>
                <w:sz w:val="21"/>
                <w:szCs w:val="21"/>
                <w:vertAlign w:val="baseline"/>
                <w:lang w:val="en-US" w:eastAsia="zh-CN"/>
              </w:rPr>
              <w:t>Applicable use cases</w:t>
            </w:r>
          </w:p>
        </w:tc>
      </w:tr>
      <w:tr w14:paraId="2C2FE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786C137">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UE-sided model</w:t>
            </w:r>
          </w:p>
        </w:tc>
        <w:tc>
          <w:tcPr>
            <w:tcW w:w="4615" w:type="dxa"/>
          </w:tcPr>
          <w:p w14:paraId="0BB7A06F">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Beam management</w:t>
            </w:r>
          </w:p>
          <w:p w14:paraId="2AAD0569">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CSI prediction</w:t>
            </w:r>
          </w:p>
          <w:p w14:paraId="0EAB8299">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Positioning (case 1, 2a)</w:t>
            </w:r>
          </w:p>
          <w:p w14:paraId="031CA12C">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RRM measurement prediction</w:t>
            </w:r>
          </w:p>
          <w:p w14:paraId="076A3409">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Measurement event prediction</w:t>
            </w:r>
          </w:p>
        </w:tc>
      </w:tr>
      <w:tr w14:paraId="6346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37851B6">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gNB-sided model</w:t>
            </w:r>
          </w:p>
        </w:tc>
        <w:tc>
          <w:tcPr>
            <w:tcW w:w="4615" w:type="dxa"/>
          </w:tcPr>
          <w:p w14:paraId="7DEF90AD">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Beam management</w:t>
            </w:r>
          </w:p>
          <w:p w14:paraId="0CC468A7">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eastAsia" w:ascii="Arial" w:hAnsi="Arial" w:cs="Arial"/>
                <w:sz w:val="21"/>
                <w:szCs w:val="21"/>
                <w:lang w:val="en-US" w:eastAsia="zh-CN"/>
              </w:rPr>
            </w:pPr>
            <w:r>
              <w:rPr>
                <w:rFonts w:hint="eastAsia" w:ascii="Arial" w:hAnsi="Arial" w:cs="Arial"/>
                <w:sz w:val="21"/>
                <w:szCs w:val="21"/>
                <w:lang w:val="en-US" w:eastAsia="zh-CN"/>
              </w:rPr>
              <w:t>Positioning (case 3a)</w:t>
            </w:r>
          </w:p>
          <w:p w14:paraId="03F11A2F">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RRM measurement prediction</w:t>
            </w:r>
          </w:p>
        </w:tc>
      </w:tr>
      <w:tr w14:paraId="5F4E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B06215A">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LMF-sided model</w:t>
            </w:r>
          </w:p>
        </w:tc>
        <w:tc>
          <w:tcPr>
            <w:tcW w:w="4615" w:type="dxa"/>
          </w:tcPr>
          <w:p w14:paraId="12D90E5B">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Positioning (case 2b, 3b)</w:t>
            </w:r>
          </w:p>
        </w:tc>
      </w:tr>
      <w:tr w14:paraId="2119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07" w:type="dxa"/>
          </w:tcPr>
          <w:p w14:paraId="578FDF95">
            <w:pPr>
              <w:keepNext w:val="0"/>
              <w:keepLines w:val="0"/>
              <w:pageBreakBefore w:val="0"/>
              <w:widowControl w:val="0"/>
              <w:kinsoku/>
              <w:wordWrap/>
              <w:overflowPunct/>
              <w:topLinePunct w:val="0"/>
              <w:autoSpaceDE/>
              <w:autoSpaceDN/>
              <w:bidi w:val="0"/>
              <w:adjustRightInd/>
              <w:snapToGrid/>
              <w:spacing w:after="60" w:line="260" w:lineRule="exact"/>
              <w:jc w:val="center"/>
              <w:textAlignment w:val="auto"/>
              <w:rPr>
                <w:rFonts w:hint="eastAsia" w:ascii="Arial" w:hAnsi="Arial" w:cs="Arial"/>
                <w:sz w:val="21"/>
                <w:szCs w:val="21"/>
                <w:lang w:val="en-US" w:eastAsia="zh-CN"/>
              </w:rPr>
            </w:pPr>
            <w:r>
              <w:rPr>
                <w:rFonts w:hint="eastAsia" w:ascii="Arial" w:hAnsi="Arial" w:cs="Arial"/>
                <w:sz w:val="21"/>
                <w:szCs w:val="21"/>
                <w:lang w:val="en-US" w:eastAsia="zh-CN"/>
              </w:rPr>
              <w:t>two-sided model</w:t>
            </w:r>
          </w:p>
        </w:tc>
        <w:tc>
          <w:tcPr>
            <w:tcW w:w="4615" w:type="dxa"/>
          </w:tcPr>
          <w:p w14:paraId="457DD1C4">
            <w:pPr>
              <w:keepNext w:val="0"/>
              <w:keepLines w:val="0"/>
              <w:pageBreakBefore w:val="0"/>
              <w:widowControl w:val="0"/>
              <w:numPr>
                <w:ilvl w:val="0"/>
                <w:numId w:val="9"/>
              </w:numPr>
              <w:kinsoku/>
              <w:wordWrap/>
              <w:overflowPunct/>
              <w:topLinePunct w:val="0"/>
              <w:autoSpaceDE/>
              <w:autoSpaceDN/>
              <w:bidi w:val="0"/>
              <w:adjustRightInd/>
              <w:snapToGrid/>
              <w:spacing w:after="60" w:line="260" w:lineRule="exact"/>
              <w:ind w:left="420" w:leftChars="0" w:hanging="420" w:firstLineChars="0"/>
              <w:textAlignment w:val="auto"/>
              <w:rPr>
                <w:rFonts w:hint="default" w:ascii="Arial" w:hAnsi="Arial" w:cs="Arial"/>
                <w:sz w:val="21"/>
                <w:szCs w:val="21"/>
                <w:vertAlign w:val="baseline"/>
                <w:lang w:val="en-US" w:eastAsia="zh-CN"/>
              </w:rPr>
            </w:pPr>
            <w:r>
              <w:rPr>
                <w:rFonts w:hint="eastAsia" w:ascii="Arial" w:hAnsi="Arial" w:cs="Arial"/>
                <w:sz w:val="21"/>
                <w:szCs w:val="21"/>
                <w:lang w:val="en-US" w:eastAsia="zh-CN"/>
              </w:rPr>
              <w:t>CSI compression</w:t>
            </w:r>
          </w:p>
        </w:tc>
      </w:tr>
    </w:tbl>
    <w:p w14:paraId="4D04A9E3">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The sub-use cases of Positioning are listed here for information.</w:t>
      </w:r>
    </w:p>
    <w:p w14:paraId="1B06EA10">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1: UE-based positioning with UE-side model, direct AI/ML or AI/ML assisted positioning</w:t>
      </w:r>
    </w:p>
    <w:p w14:paraId="734E2361">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2a: UE-assisted/LMF-based positioning with UE-side model, AI/ML assisted positioning</w:t>
      </w:r>
    </w:p>
    <w:p w14:paraId="17B02997">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2b: UE-assisted/LMF-based positioning with LMF-side model, direct AI/ML positioning</w:t>
      </w:r>
    </w:p>
    <w:p w14:paraId="5C384851">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3a: NG-RAN node assisted positioning with gNB-side model, AI/ML assisted positioning</w:t>
      </w:r>
    </w:p>
    <w:p w14:paraId="763B29AF">
      <w:pPr>
        <w:pStyle w:val="28"/>
        <w:keepNext w:val="0"/>
        <w:keepLines w:val="0"/>
        <w:pageBreakBefore w:val="0"/>
        <w:widowControl w:val="0"/>
        <w:kinsoku/>
        <w:wordWrap/>
        <w:overflowPunct/>
        <w:topLinePunct w:val="0"/>
        <w:autoSpaceDE/>
        <w:autoSpaceDN/>
        <w:bidi w:val="0"/>
        <w:adjustRightInd/>
        <w:snapToGrid/>
        <w:spacing w:after="60"/>
        <w:ind w:left="567" w:hanging="283"/>
        <w:textAlignment w:val="auto"/>
        <w:rPr>
          <w:rFonts w:hint="default" w:ascii="Arial" w:hAnsi="Arial" w:cs="Arial"/>
          <w:i/>
          <w:iCs/>
        </w:rPr>
      </w:pPr>
      <w:r>
        <w:rPr>
          <w:rFonts w:hint="default" w:ascii="Arial" w:hAnsi="Arial" w:cs="Arial"/>
          <w:i/>
          <w:iCs/>
        </w:rPr>
        <w:t>-</w:t>
      </w:r>
      <w:r>
        <w:rPr>
          <w:rFonts w:hint="default" w:ascii="Arial" w:hAnsi="Arial" w:cs="Arial"/>
          <w:i/>
          <w:iCs/>
        </w:rPr>
        <w:tab/>
      </w:r>
      <w:r>
        <w:rPr>
          <w:rFonts w:hint="default" w:ascii="Arial" w:hAnsi="Arial" w:cs="Arial"/>
          <w:i/>
          <w:iCs/>
        </w:rPr>
        <w:t>Case 3b: NG-RAN node assisted positioning with LMF-side model, direct AI/ML positioning</w:t>
      </w:r>
    </w:p>
    <w:p w14:paraId="354BBD2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For UE-sided model, the model training resides at UE-side OTT server, the following data collection/transfer solutions were studied and captured in TR 38.843 [2]. </w:t>
      </w:r>
    </w:p>
    <w:p w14:paraId="23B64D78">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1a.</w:t>
      </w:r>
      <w:r>
        <w:rPr>
          <w:rFonts w:hint="eastAsia" w:ascii="Arial" w:hAnsi="Arial" w:cs="Arial"/>
          <w:sz w:val="21"/>
          <w:szCs w:val="21"/>
          <w:lang w:val="en-US" w:eastAsia="zh-CN"/>
        </w:rPr>
        <w:tab/>
      </w:r>
      <w:r>
        <w:rPr>
          <w:rFonts w:hint="eastAsia" w:ascii="Arial" w:hAnsi="Arial" w:cs="Arial"/>
          <w:sz w:val="21"/>
          <w:szCs w:val="21"/>
          <w:lang w:val="en-US" w:eastAsia="zh-CN"/>
        </w:rPr>
        <w:t>UE collects and directly transfers training data to the data collection entity outside the MNO (e.g. Over-The-Top (OTT) server) for UE-side model training. No 3GPP specification impact is expected.</w:t>
      </w:r>
    </w:p>
    <w:p w14:paraId="156242F1">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1b.</w:t>
      </w:r>
      <w:r>
        <w:rPr>
          <w:rFonts w:hint="eastAsia" w:ascii="Arial" w:hAnsi="Arial" w:cs="Arial"/>
          <w:sz w:val="21"/>
          <w:szCs w:val="21"/>
          <w:lang w:val="en-US" w:eastAsia="zh-CN"/>
        </w:rPr>
        <w:tab/>
      </w:r>
      <w:r>
        <w:rPr>
          <w:rFonts w:hint="eastAsia" w:ascii="Arial" w:hAnsi="Arial" w:cs="Arial"/>
          <w:sz w:val="21"/>
          <w:szCs w:val="21"/>
          <w:lang w:val="en-US" w:eastAsia="zh-CN"/>
        </w:rPr>
        <w:t>UE collects training data and transfers it to the server for data collection for UE-side model training (inside the MNO) and then optionally from the server for data collection for UE-side model training to the OTT server (outside the MNO).</w:t>
      </w:r>
    </w:p>
    <w:p w14:paraId="7F302548">
      <w:pPr>
        <w:spacing w:before="120" w:beforeLines="50" w:after="120" w:line="260" w:lineRule="exact"/>
        <w:ind w:leftChars="100"/>
        <w:rPr>
          <w:rFonts w:hint="eastAsia" w:ascii="Arial" w:hAnsi="Arial" w:cs="Arial"/>
          <w:sz w:val="21"/>
          <w:szCs w:val="21"/>
          <w:lang w:val="en-US" w:eastAsia="zh-CN"/>
        </w:rPr>
      </w:pPr>
      <w:r>
        <w:rPr>
          <w:rFonts w:hint="eastAsia" w:ascii="Arial" w:hAnsi="Arial" w:cs="Arial"/>
          <w:sz w:val="21"/>
          <w:szCs w:val="21"/>
          <w:lang w:val="en-US" w:eastAsia="zh-CN"/>
        </w:rPr>
        <w:t>2.</w:t>
      </w:r>
      <w:r>
        <w:rPr>
          <w:rFonts w:hint="eastAsia" w:ascii="Arial" w:hAnsi="Arial" w:cs="Arial"/>
          <w:sz w:val="21"/>
          <w:szCs w:val="21"/>
          <w:lang w:val="en-US" w:eastAsia="zh-CN"/>
        </w:rPr>
        <w:tab/>
      </w:r>
      <w:r>
        <w:rPr>
          <w:rFonts w:hint="eastAsia" w:ascii="Arial" w:hAnsi="Arial" w:cs="Arial"/>
          <w:sz w:val="21"/>
          <w:szCs w:val="21"/>
          <w:lang w:val="en-US" w:eastAsia="zh-CN"/>
        </w:rPr>
        <w:t>UE collects training data and transfers it to Core Network. Core Network transfers the training data to the server for data collection for UE-side model training/OTT server.</w:t>
      </w:r>
    </w:p>
    <w:p w14:paraId="4D8D634A">
      <w:pPr>
        <w:spacing w:before="120" w:beforeLines="50" w:after="120" w:line="260" w:lineRule="exact"/>
        <w:ind w:leftChars="100"/>
        <w:rPr>
          <w:rFonts w:hint="default" w:ascii="Arial" w:hAnsi="Arial" w:cs="Arial"/>
          <w:sz w:val="21"/>
          <w:szCs w:val="21"/>
          <w:lang w:val="en-US" w:eastAsia="zh-CN"/>
        </w:rPr>
      </w:pPr>
      <w:r>
        <w:rPr>
          <w:rFonts w:hint="eastAsia" w:ascii="Arial" w:hAnsi="Arial" w:cs="Arial"/>
          <w:sz w:val="21"/>
          <w:szCs w:val="21"/>
          <w:lang w:val="en-US" w:eastAsia="zh-CN"/>
        </w:rPr>
        <w:t>3.</w:t>
      </w:r>
      <w:r>
        <w:rPr>
          <w:rFonts w:hint="eastAsia" w:ascii="Arial" w:hAnsi="Arial" w:cs="Arial"/>
          <w:sz w:val="21"/>
          <w:szCs w:val="21"/>
          <w:lang w:val="en-US" w:eastAsia="zh-CN"/>
        </w:rPr>
        <w:tab/>
      </w:r>
      <w:r>
        <w:rPr>
          <w:rFonts w:hint="eastAsia" w:ascii="Arial" w:hAnsi="Arial" w:cs="Arial"/>
          <w:sz w:val="21"/>
          <w:szCs w:val="21"/>
          <w:lang w:val="en-US" w:eastAsia="zh-CN"/>
        </w:rPr>
        <w:t xml:space="preserve">UE collects training data and transfers it to OAM. OAM transfers the training data to the server for data collection for UE-side model training/OTT server. </w:t>
      </w:r>
    </w:p>
    <w:p w14:paraId="14F17B7F">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Based on RAN1 LS [3] and above analysis, the typical data content, data size, latency requirement, and data producer, consumer, transfer path for UE-sided model are listed as following table, where beam management is taken as an example.</w:t>
      </w:r>
    </w:p>
    <w:p w14:paraId="3CF2FF0C">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2. Typical data type for UE-sided model (e.g. beam management)</w:t>
      </w:r>
    </w:p>
    <w:tbl>
      <w:tblPr>
        <w:tblStyle w:val="17"/>
        <w:tblW w:w="9912"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402"/>
        <w:gridCol w:w="1189"/>
        <w:gridCol w:w="1506"/>
        <w:gridCol w:w="1154"/>
        <w:gridCol w:w="1217"/>
        <w:gridCol w:w="2233"/>
      </w:tblGrid>
      <w:tr w14:paraId="4EF60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6B785B78">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1402" w:type="dxa"/>
          </w:tcPr>
          <w:p w14:paraId="7CA927C5">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189" w:type="dxa"/>
          </w:tcPr>
          <w:p w14:paraId="6EB13F6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506" w:type="dxa"/>
            <w:shd w:val="clear" w:color="auto" w:fill="auto"/>
            <w:vAlign w:val="top"/>
          </w:tcPr>
          <w:p w14:paraId="57FA7F1D">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154" w:type="dxa"/>
          </w:tcPr>
          <w:p w14:paraId="524BFE27">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17" w:type="dxa"/>
          </w:tcPr>
          <w:p w14:paraId="02AF3047">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2233" w:type="dxa"/>
          </w:tcPr>
          <w:p w14:paraId="49DF04D6">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Transfer path</w:t>
            </w:r>
          </w:p>
        </w:tc>
      </w:tr>
      <w:tr w14:paraId="0EAB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0900DDC7">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Training</w:t>
            </w:r>
          </w:p>
        </w:tc>
        <w:tc>
          <w:tcPr>
            <w:tcW w:w="1402" w:type="dxa"/>
          </w:tcPr>
          <w:p w14:paraId="3DF1B54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L1-RSRPs and/or beam-IDs</w:t>
            </w:r>
          </w:p>
        </w:tc>
        <w:tc>
          <w:tcPr>
            <w:tcW w:w="1189" w:type="dxa"/>
          </w:tcPr>
          <w:p w14:paraId="0E87258D">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tens to hundreds bits</w:t>
            </w:r>
          </w:p>
        </w:tc>
        <w:tc>
          <w:tcPr>
            <w:tcW w:w="1506" w:type="dxa"/>
            <w:shd w:val="clear" w:color="auto" w:fill="auto"/>
            <w:vAlign w:val="top"/>
          </w:tcPr>
          <w:p w14:paraId="0663E5CA">
            <w:pPr>
              <w:spacing w:before="120" w:beforeLines="50" w:after="120" w:line="260" w:lineRule="exact"/>
              <w:rPr>
                <w:rFonts w:hint="eastAsia"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Relaxed</w:t>
            </w:r>
          </w:p>
        </w:tc>
        <w:tc>
          <w:tcPr>
            <w:tcW w:w="1154" w:type="dxa"/>
          </w:tcPr>
          <w:p w14:paraId="021095D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217" w:type="dxa"/>
          </w:tcPr>
          <w:p w14:paraId="70D05A1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UE-side OTT server</w:t>
            </w:r>
          </w:p>
        </w:tc>
        <w:tc>
          <w:tcPr>
            <w:tcW w:w="2233" w:type="dxa"/>
          </w:tcPr>
          <w:p w14:paraId="6A8C1715">
            <w:pPr>
              <w:spacing w:before="120" w:beforeLines="50" w:after="120" w:line="260" w:lineRule="exact"/>
              <w:rPr>
                <w:rFonts w:hint="eastAsia" w:ascii="Arial" w:hAnsi="Arial" w:cs="Arial"/>
                <w:sz w:val="20"/>
                <w:szCs w:val="20"/>
                <w:vertAlign w:val="baseline"/>
                <w:lang w:val="en-US" w:eastAsia="zh-CN"/>
              </w:rPr>
            </w:pPr>
            <w:r>
              <w:rPr>
                <w:rFonts w:hint="eastAsia" w:ascii="Arial" w:hAnsi="Arial" w:cs="Arial"/>
                <w:sz w:val="20"/>
                <w:szCs w:val="20"/>
                <w:vertAlign w:val="baseline"/>
                <w:lang w:val="en-US" w:eastAsia="zh-CN"/>
              </w:rPr>
              <w:t>1a.UE-&gt;UE-side OTT server</w:t>
            </w:r>
          </w:p>
          <w:p w14:paraId="6E502962">
            <w:pPr>
              <w:spacing w:before="120" w:beforeLines="50" w:after="120" w:line="260" w:lineRule="exact"/>
              <w:rPr>
                <w:rFonts w:hint="eastAsia" w:ascii="Arial" w:hAnsi="Arial" w:cs="Arial"/>
                <w:sz w:val="20"/>
                <w:szCs w:val="20"/>
                <w:vertAlign w:val="baseline"/>
                <w:lang w:val="en-US" w:eastAsia="zh-CN"/>
              </w:rPr>
            </w:pPr>
            <w:r>
              <w:rPr>
                <w:rFonts w:hint="eastAsia" w:ascii="Arial" w:hAnsi="Arial" w:cs="Arial"/>
                <w:sz w:val="20"/>
                <w:szCs w:val="20"/>
                <w:vertAlign w:val="baseline"/>
                <w:lang w:val="en-US" w:eastAsia="zh-CN"/>
              </w:rPr>
              <w:t>2.UE-&gt;CN-&gt;UE-side OTT server</w:t>
            </w:r>
          </w:p>
          <w:p w14:paraId="32DBEEFC">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3.UE-&gt;OAM-&gt;UE-side OTT server</w:t>
            </w:r>
          </w:p>
        </w:tc>
      </w:tr>
      <w:tr w14:paraId="13B0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1B3796E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Inference</w:t>
            </w:r>
          </w:p>
        </w:tc>
        <w:tc>
          <w:tcPr>
            <w:tcW w:w="1402" w:type="dxa"/>
          </w:tcPr>
          <w:p w14:paraId="19CE3E06">
            <w:pPr>
              <w:tabs>
                <w:tab w:val="left" w:pos="1440"/>
              </w:tabs>
              <w:spacing w:line="276" w:lineRule="auto"/>
              <w:contextualSpacing/>
              <w:jc w:val="both"/>
              <w:rPr>
                <w:rFonts w:hint="default" w:ascii="Arial" w:hAnsi="Arial" w:cs="Arial"/>
                <w:sz w:val="20"/>
                <w:szCs w:val="20"/>
                <w:vertAlign w:val="baseline"/>
                <w:lang w:val="en-US" w:eastAsia="zh-CN"/>
              </w:rPr>
            </w:pPr>
            <w:r>
              <w:rPr>
                <w:rFonts w:hint="default" w:ascii="Arial" w:hAnsi="Arial" w:eastAsia="宋体" w:cs="Arial"/>
                <w:sz w:val="20"/>
                <w:szCs w:val="21"/>
              </w:rPr>
              <w:t>Beam prediction results</w:t>
            </w:r>
          </w:p>
        </w:tc>
        <w:tc>
          <w:tcPr>
            <w:tcW w:w="1189" w:type="dxa"/>
          </w:tcPr>
          <w:p w14:paraId="1DF0C7B7">
            <w:pPr>
              <w:spacing w:before="120" w:beforeLines="50" w:after="120" w:line="260" w:lineRule="exact"/>
              <w:rPr>
                <w:rFonts w:hint="default" w:ascii="Arial" w:hAnsi="Arial" w:cs="Arial"/>
                <w:sz w:val="20"/>
                <w:szCs w:val="20"/>
                <w:vertAlign w:val="baseline"/>
                <w:lang w:val="en-US" w:eastAsia="zh-CN"/>
              </w:rPr>
            </w:pPr>
            <w:r>
              <w:rPr>
                <w:rFonts w:hint="default" w:ascii="Arial" w:hAnsi="Arial" w:eastAsia="宋体" w:cs="Arial"/>
                <w:sz w:val="20"/>
                <w:szCs w:val="21"/>
              </w:rPr>
              <w:t>Small (10s of bits)</w:t>
            </w:r>
          </w:p>
        </w:tc>
        <w:tc>
          <w:tcPr>
            <w:tcW w:w="1506" w:type="dxa"/>
            <w:shd w:val="clear" w:color="auto" w:fill="auto"/>
            <w:vAlign w:val="top"/>
          </w:tcPr>
          <w:p w14:paraId="1C62F2A3">
            <w:pPr>
              <w:spacing w:before="120" w:beforeLines="50" w:after="120" w:line="260" w:lineRule="exact"/>
              <w:rPr>
                <w:rFonts w:hint="eastAsia" w:ascii="Arial" w:hAnsi="Arial" w:cs="Arial" w:eastAsiaTheme="minorEastAsia"/>
                <w:kern w:val="2"/>
                <w:sz w:val="20"/>
                <w:szCs w:val="20"/>
                <w:vertAlign w:val="baseline"/>
                <w:lang w:val="en-US" w:eastAsia="zh-CN" w:bidi="ar-SA"/>
              </w:rPr>
            </w:pPr>
            <w:r>
              <w:rPr>
                <w:rFonts w:hint="default" w:ascii="Arial" w:hAnsi="Arial" w:eastAsia="宋体" w:cs="Arial"/>
                <w:sz w:val="20"/>
                <w:szCs w:val="21"/>
              </w:rPr>
              <w:t>Time-critical</w:t>
            </w:r>
          </w:p>
        </w:tc>
        <w:tc>
          <w:tcPr>
            <w:tcW w:w="1154" w:type="dxa"/>
          </w:tcPr>
          <w:p w14:paraId="2FEB3333">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217" w:type="dxa"/>
          </w:tcPr>
          <w:p w14:paraId="1A36570D">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gNB</w:t>
            </w:r>
          </w:p>
        </w:tc>
        <w:tc>
          <w:tcPr>
            <w:tcW w:w="2233" w:type="dxa"/>
          </w:tcPr>
          <w:p w14:paraId="7AF35EB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tc>
      </w:tr>
      <w:tr w14:paraId="4F59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1" w:type="dxa"/>
          </w:tcPr>
          <w:p w14:paraId="17E1C86A">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Monitoring</w:t>
            </w:r>
          </w:p>
        </w:tc>
        <w:tc>
          <w:tcPr>
            <w:tcW w:w="1402" w:type="dxa"/>
          </w:tcPr>
          <w:p w14:paraId="5E25C241">
            <w:pPr>
              <w:spacing w:before="120" w:beforeLines="50" w:after="120" w:line="260" w:lineRule="exact"/>
              <w:rPr>
                <w:rFonts w:hint="default" w:ascii="Arial" w:hAnsi="Arial" w:eastAsia="宋体" w:cs="Arial"/>
                <w:sz w:val="20"/>
                <w:szCs w:val="20"/>
                <w:vertAlign w:val="baseline"/>
                <w:lang w:val="en-US" w:eastAsia="zh-CN"/>
              </w:rPr>
            </w:pPr>
            <w:r>
              <w:rPr>
                <w:rFonts w:hint="eastAsia" w:ascii="Arial" w:hAnsi="Arial" w:cs="Arial"/>
                <w:sz w:val="20"/>
                <w:szCs w:val="20"/>
                <w:vertAlign w:val="baseline"/>
                <w:lang w:val="en-US" w:eastAsia="zh-CN"/>
              </w:rPr>
              <w:t>Event occurrence and/or calculated performance metrics, L1-RSRP(s) and/or beam-ID(s)</w:t>
            </w:r>
          </w:p>
        </w:tc>
        <w:tc>
          <w:tcPr>
            <w:tcW w:w="1189" w:type="dxa"/>
          </w:tcPr>
          <w:p w14:paraId="0E541DB0">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 tens to hundreds bits</w:t>
            </w:r>
          </w:p>
        </w:tc>
        <w:tc>
          <w:tcPr>
            <w:tcW w:w="1506" w:type="dxa"/>
            <w:shd w:val="clear" w:color="auto" w:fill="auto"/>
            <w:vAlign w:val="top"/>
          </w:tcPr>
          <w:p w14:paraId="393D2E2B">
            <w:pPr>
              <w:spacing w:before="120" w:beforeLines="50" w:after="120" w:line="260" w:lineRule="exact"/>
              <w:rPr>
                <w:rFonts w:hint="eastAsia" w:ascii="Arial" w:hAnsi="Arial" w:cs="Arial" w:eastAsiaTheme="minorEastAsia"/>
                <w:kern w:val="2"/>
                <w:sz w:val="20"/>
                <w:szCs w:val="20"/>
                <w:vertAlign w:val="baseline"/>
                <w:lang w:val="en-US" w:eastAsia="zh-CN" w:bidi="ar-SA"/>
              </w:rPr>
            </w:pPr>
            <w:r>
              <w:rPr>
                <w:rFonts w:hint="default" w:ascii="Arial" w:hAnsi="Arial" w:eastAsia="宋体" w:cs="Arial"/>
                <w:sz w:val="20"/>
                <w:szCs w:val="21"/>
              </w:rPr>
              <w:t>Near-real-time</w:t>
            </w:r>
          </w:p>
        </w:tc>
        <w:tc>
          <w:tcPr>
            <w:tcW w:w="1154" w:type="dxa"/>
          </w:tcPr>
          <w:p w14:paraId="40704266">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217" w:type="dxa"/>
          </w:tcPr>
          <w:p w14:paraId="15C60294">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gNB</w:t>
            </w:r>
          </w:p>
        </w:tc>
        <w:tc>
          <w:tcPr>
            <w:tcW w:w="2233" w:type="dxa"/>
          </w:tcPr>
          <w:p w14:paraId="64499E70">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tc>
      </w:tr>
    </w:tbl>
    <w:p w14:paraId="46EDFD4A">
      <w:pPr>
        <w:numPr>
          <w:ilvl w:val="-1"/>
          <w:numId w:val="0"/>
        </w:numPr>
        <w:overflowPunct/>
        <w:autoSpaceDE/>
        <w:autoSpaceDN/>
        <w:adjustRightInd/>
        <w:spacing w:before="120" w:beforeLines="50" w:after="120" w:line="260" w:lineRule="exact"/>
        <w:textAlignment w:val="auto"/>
        <w:rPr>
          <w:rFonts w:hint="eastAsia" w:ascii="Arial" w:hAnsi="Arial" w:cs="Arial"/>
          <w:szCs w:val="21"/>
          <w:lang w:val="en-US" w:eastAsia="zh-CN"/>
        </w:rPr>
      </w:pPr>
      <w:r>
        <w:rPr>
          <w:rFonts w:hint="eastAsia" w:ascii="Arial" w:hAnsi="Arial" w:cs="Arial"/>
          <w:szCs w:val="21"/>
          <w:lang w:val="en-US" w:eastAsia="zh-CN"/>
        </w:rPr>
        <w:t>Common Note for all tables, the following descriptions are used:</w:t>
      </w:r>
    </w:p>
    <w:p w14:paraId="15A57E24">
      <w:pPr>
        <w:numPr>
          <w:ilvl w:val="0"/>
          <w:numId w:val="0"/>
        </w:numPr>
        <w:overflowPunct/>
        <w:autoSpaceDE/>
        <w:autoSpaceDN/>
        <w:adjustRightInd/>
        <w:spacing w:before="120" w:beforeLines="50" w:after="120" w:line="260" w:lineRule="exact"/>
        <w:ind w:leftChars="100"/>
        <w:textAlignment w:val="auto"/>
        <w:rPr>
          <w:rFonts w:hint="eastAsia" w:ascii="Arial" w:hAnsi="Arial" w:cs="Arial" w:eastAsiaTheme="minorEastAsia"/>
          <w:szCs w:val="21"/>
          <w:lang w:eastAsia="zh-CN"/>
        </w:rPr>
      </w:pPr>
      <w:r>
        <w:rPr>
          <w:rFonts w:hint="eastAsia" w:ascii="Arial" w:hAnsi="Arial" w:cs="Arial"/>
          <w:szCs w:val="21"/>
          <w:lang w:val="en-US" w:eastAsia="zh-CN"/>
        </w:rPr>
        <w:t xml:space="preserve">- </w:t>
      </w:r>
      <w:r>
        <w:rPr>
          <w:rFonts w:hint="eastAsia" w:ascii="Arial" w:hAnsi="Arial" w:cs="Arial" w:eastAsiaTheme="minorEastAsia"/>
          <w:szCs w:val="21"/>
          <w:lang w:eastAsia="zh-CN"/>
        </w:rPr>
        <w:t>Relaxed (e.g., minutes, hours, days, or no latency requirement)</w:t>
      </w:r>
    </w:p>
    <w:p w14:paraId="4188CBE6">
      <w:pPr>
        <w:numPr>
          <w:ilvl w:val="0"/>
          <w:numId w:val="0"/>
        </w:numPr>
        <w:overflowPunct/>
        <w:autoSpaceDE/>
        <w:autoSpaceDN/>
        <w:adjustRightInd/>
        <w:spacing w:before="120" w:beforeLines="50" w:after="120" w:line="260" w:lineRule="exact"/>
        <w:ind w:leftChars="100"/>
        <w:textAlignment w:val="auto"/>
        <w:rPr>
          <w:rFonts w:hint="eastAsia" w:ascii="Arial" w:hAnsi="Arial" w:cs="Arial" w:eastAsiaTheme="minorEastAsia"/>
          <w:szCs w:val="21"/>
          <w:lang w:eastAsia="zh-CN"/>
        </w:rPr>
      </w:pPr>
      <w:r>
        <w:rPr>
          <w:rFonts w:hint="eastAsia" w:ascii="Arial" w:hAnsi="Arial" w:cs="Arial"/>
          <w:szCs w:val="21"/>
          <w:lang w:val="en-US" w:eastAsia="zh-CN"/>
        </w:rPr>
        <w:t xml:space="preserve">- </w:t>
      </w:r>
      <w:r>
        <w:rPr>
          <w:rFonts w:hint="eastAsia" w:ascii="Arial" w:hAnsi="Arial" w:cs="Arial" w:eastAsiaTheme="minorEastAsia"/>
          <w:szCs w:val="21"/>
          <w:lang w:eastAsia="zh-CN"/>
        </w:rPr>
        <w:t>Near-real-time (e.g., several tens of msecs to a few seconds)</w:t>
      </w:r>
    </w:p>
    <w:p w14:paraId="24F35119">
      <w:pPr>
        <w:numPr>
          <w:ilvl w:val="0"/>
          <w:numId w:val="0"/>
        </w:numPr>
        <w:overflowPunct/>
        <w:autoSpaceDE/>
        <w:autoSpaceDN/>
        <w:adjustRightInd/>
        <w:spacing w:before="120" w:beforeLines="50" w:after="120" w:line="260" w:lineRule="exact"/>
        <w:ind w:leftChars="100"/>
        <w:textAlignment w:val="auto"/>
        <w:rPr>
          <w:rFonts w:hint="eastAsia" w:ascii="Arial" w:hAnsi="Arial" w:cs="Arial" w:eastAsiaTheme="minorEastAsia"/>
          <w:szCs w:val="21"/>
          <w:lang w:eastAsia="zh-CN"/>
        </w:rPr>
      </w:pPr>
      <w:r>
        <w:rPr>
          <w:rFonts w:hint="eastAsia" w:ascii="Arial" w:hAnsi="Arial" w:cs="Arial"/>
          <w:szCs w:val="21"/>
          <w:lang w:val="en-US" w:eastAsia="zh-CN"/>
        </w:rPr>
        <w:t xml:space="preserve">- </w:t>
      </w:r>
      <w:r>
        <w:rPr>
          <w:rFonts w:hint="eastAsia" w:ascii="Arial" w:hAnsi="Arial" w:cs="Arial" w:eastAsiaTheme="minorEastAsia"/>
          <w:szCs w:val="21"/>
          <w:lang w:eastAsia="zh-CN"/>
        </w:rPr>
        <w:t>Time-critical (e.g., a few msecs)</w:t>
      </w:r>
    </w:p>
    <w:p w14:paraId="0F6A4A39">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For use cases with UE-sided model (e.g. beam management), the data can be produced by the UE, and consumed by UE-side OTT server for model training or by gNB for inference reporting and monitoring. The typical data content includes L1 measurement results.</w:t>
      </w:r>
    </w:p>
    <w:p w14:paraId="269A5F63">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gNB-sided model, the model can be trained at gNB or OAM, and data collection can be gNB-centric and OAM-centric. For OAM-centric solution, the immediate MDT is taken as baseline with enhancements.</w:t>
      </w:r>
    </w:p>
    <w:p w14:paraId="3682B59D">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Similarly, the typical data content, data size, latency requirement, and data producer, consumer, transfer path for gNB-sided model are listed as following table based on RAN1 LS [3], where beam management is taken as an example.</w:t>
      </w:r>
    </w:p>
    <w:p w14:paraId="77C63071">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3. Typical data type for gNB-sided model (e.g. beam management)</w:t>
      </w:r>
    </w:p>
    <w:tbl>
      <w:tblPr>
        <w:tblStyle w:val="17"/>
        <w:tblW w:w="9935" w:type="dxa"/>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1563"/>
        <w:gridCol w:w="1465"/>
        <w:gridCol w:w="1535"/>
        <w:gridCol w:w="1113"/>
        <w:gridCol w:w="1235"/>
        <w:gridCol w:w="1800"/>
      </w:tblGrid>
      <w:tr w14:paraId="3C32A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tcPr>
          <w:p w14:paraId="57FC9FE1">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1563" w:type="dxa"/>
          </w:tcPr>
          <w:p w14:paraId="72319BCF">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465" w:type="dxa"/>
          </w:tcPr>
          <w:p w14:paraId="340B6F42">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535" w:type="dxa"/>
            <w:shd w:val="clear" w:color="auto" w:fill="auto"/>
            <w:vAlign w:val="top"/>
          </w:tcPr>
          <w:p w14:paraId="21648CA9">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113" w:type="dxa"/>
          </w:tcPr>
          <w:p w14:paraId="00F62BBA">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35" w:type="dxa"/>
          </w:tcPr>
          <w:p w14:paraId="1A41052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1800" w:type="dxa"/>
          </w:tcPr>
          <w:p w14:paraId="3E270A50">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Transfer path</w:t>
            </w:r>
          </w:p>
        </w:tc>
      </w:tr>
      <w:tr w14:paraId="63423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shd w:val="clear" w:color="auto" w:fill="auto"/>
            <w:vAlign w:val="top"/>
          </w:tcPr>
          <w:p w14:paraId="1ABCCB7C">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p>
        </w:tc>
        <w:tc>
          <w:tcPr>
            <w:tcW w:w="1563" w:type="dxa"/>
          </w:tcPr>
          <w:p w14:paraId="17C82B82">
            <w:pPr>
              <w:spacing w:before="120" w:beforeLines="50" w:after="120" w:line="260" w:lineRule="exact"/>
              <w:rPr>
                <w:rFonts w:hint="default" w:ascii="Arial" w:hAnsi="Arial" w:cs="Arial"/>
                <w:sz w:val="20"/>
                <w:szCs w:val="20"/>
                <w:vertAlign w:val="baseline"/>
                <w:lang w:val="en-US" w:eastAsia="zh-CN"/>
              </w:rPr>
            </w:pPr>
            <w:r>
              <w:rPr>
                <w:rFonts w:hint="default" w:ascii="Arial" w:hAnsi="Arial" w:eastAsia="宋体" w:cs="Arial"/>
              </w:rPr>
              <w:t>L1-RSRPs and/or beam-IDs</w:t>
            </w:r>
          </w:p>
        </w:tc>
        <w:tc>
          <w:tcPr>
            <w:tcW w:w="1465" w:type="dxa"/>
          </w:tcPr>
          <w:p w14:paraId="15D445C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tens to hundreds bits</w:t>
            </w:r>
          </w:p>
        </w:tc>
        <w:tc>
          <w:tcPr>
            <w:tcW w:w="1535" w:type="dxa"/>
            <w:shd w:val="clear" w:color="auto" w:fill="auto"/>
            <w:vAlign w:val="top"/>
          </w:tcPr>
          <w:p w14:paraId="615FD1B3">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eastAsia" w:ascii="Arial" w:hAnsi="Arial" w:cs="Arial"/>
                <w:sz w:val="20"/>
                <w:szCs w:val="20"/>
                <w:vertAlign w:val="baseline"/>
                <w:lang w:val="en-US" w:eastAsia="zh-CN"/>
              </w:rPr>
              <w:t>R</w:t>
            </w:r>
            <w:r>
              <w:rPr>
                <w:rFonts w:hint="default" w:ascii="Arial" w:hAnsi="Arial" w:cs="Arial"/>
                <w:sz w:val="20"/>
                <w:szCs w:val="20"/>
                <w:vertAlign w:val="baseline"/>
                <w:lang w:val="en-US" w:eastAsia="zh-CN"/>
              </w:rPr>
              <w:t>elaxed</w:t>
            </w:r>
          </w:p>
        </w:tc>
        <w:tc>
          <w:tcPr>
            <w:tcW w:w="1113" w:type="dxa"/>
          </w:tcPr>
          <w:p w14:paraId="0AF59AFA">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35" w:type="dxa"/>
          </w:tcPr>
          <w:p w14:paraId="46DE5013">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r>
              <w:rPr>
                <w:rFonts w:hint="eastAsia" w:ascii="Arial" w:hAnsi="Arial" w:cs="Arial"/>
                <w:sz w:val="20"/>
                <w:szCs w:val="20"/>
                <w:vertAlign w:val="baseline"/>
                <w:lang w:val="en-US" w:eastAsia="zh-CN"/>
              </w:rPr>
              <w:t>,</w:t>
            </w:r>
            <w:r>
              <w:rPr>
                <w:rFonts w:hint="default" w:ascii="Arial" w:hAnsi="Arial" w:cs="Arial"/>
                <w:sz w:val="20"/>
                <w:szCs w:val="20"/>
                <w:vertAlign w:val="baseline"/>
                <w:lang w:val="en-US" w:eastAsia="zh-CN"/>
              </w:rPr>
              <w:t xml:space="preserve"> OAM</w:t>
            </w:r>
          </w:p>
        </w:tc>
        <w:tc>
          <w:tcPr>
            <w:tcW w:w="1800" w:type="dxa"/>
          </w:tcPr>
          <w:p w14:paraId="7E42860E">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p w14:paraId="0ADB086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UE-&gt;gNB-&gt;OAM</w:t>
            </w:r>
          </w:p>
        </w:tc>
      </w:tr>
      <w:tr w14:paraId="63C4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shd w:val="clear" w:color="auto" w:fill="auto"/>
            <w:vAlign w:val="top"/>
          </w:tcPr>
          <w:p w14:paraId="399CCE0F">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Inference</w:t>
            </w:r>
          </w:p>
        </w:tc>
        <w:tc>
          <w:tcPr>
            <w:tcW w:w="1563" w:type="dxa"/>
          </w:tcPr>
          <w:p w14:paraId="64071AE5">
            <w:pPr>
              <w:spacing w:before="120" w:beforeLines="50" w:after="120" w:line="260" w:lineRule="exact"/>
              <w:rPr>
                <w:rFonts w:hint="default" w:ascii="Arial" w:hAnsi="Arial" w:cs="Arial"/>
                <w:sz w:val="20"/>
                <w:szCs w:val="20"/>
                <w:vertAlign w:val="baseline"/>
                <w:lang w:val="en-US" w:eastAsia="zh-CN"/>
              </w:rPr>
            </w:pPr>
            <w:r>
              <w:rPr>
                <w:rFonts w:hint="default" w:ascii="Arial" w:hAnsi="Arial" w:eastAsia="宋体" w:cs="Arial"/>
              </w:rPr>
              <w:t>L1-RSRPs, and Beam-IDs if needed, for Set B</w:t>
            </w:r>
          </w:p>
        </w:tc>
        <w:tc>
          <w:tcPr>
            <w:tcW w:w="1465" w:type="dxa"/>
          </w:tcPr>
          <w:p w14:paraId="248E60D1">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tens to hundreds bits</w:t>
            </w:r>
          </w:p>
        </w:tc>
        <w:tc>
          <w:tcPr>
            <w:tcW w:w="1535" w:type="dxa"/>
            <w:shd w:val="clear" w:color="auto" w:fill="auto"/>
            <w:vAlign w:val="top"/>
          </w:tcPr>
          <w:p w14:paraId="27B77581">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1"/>
              </w:rPr>
              <w:t>Time-critical</w:t>
            </w:r>
          </w:p>
        </w:tc>
        <w:tc>
          <w:tcPr>
            <w:tcW w:w="1113" w:type="dxa"/>
          </w:tcPr>
          <w:p w14:paraId="029F5ED8">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35" w:type="dxa"/>
          </w:tcPr>
          <w:p w14:paraId="6A1FAFA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800" w:type="dxa"/>
          </w:tcPr>
          <w:p w14:paraId="3F8EECF7">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tc>
      </w:tr>
      <w:tr w14:paraId="4C79C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4" w:type="dxa"/>
            <w:shd w:val="clear" w:color="auto" w:fill="auto"/>
            <w:vAlign w:val="top"/>
          </w:tcPr>
          <w:p w14:paraId="5BB93BEB">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Monitoring</w:t>
            </w:r>
          </w:p>
        </w:tc>
        <w:tc>
          <w:tcPr>
            <w:tcW w:w="1563" w:type="dxa"/>
          </w:tcPr>
          <w:p w14:paraId="6879DF1F">
            <w:pPr>
              <w:spacing w:before="120" w:line="312" w:lineRule="auto"/>
              <w:rPr>
                <w:rFonts w:hint="default" w:ascii="Arial" w:hAnsi="Arial" w:cs="Arial"/>
                <w:sz w:val="20"/>
                <w:szCs w:val="20"/>
                <w:vertAlign w:val="baseline"/>
                <w:lang w:val="en-US" w:eastAsia="zh-CN"/>
              </w:rPr>
            </w:pPr>
            <w:r>
              <w:rPr>
                <w:rFonts w:hint="default" w:ascii="Arial" w:hAnsi="Arial" w:eastAsia="宋体" w:cs="Arial"/>
              </w:rPr>
              <w:t>L1-RSRP(s) and/or beam-ID(s)</w:t>
            </w:r>
          </w:p>
        </w:tc>
        <w:tc>
          <w:tcPr>
            <w:tcW w:w="1465" w:type="dxa"/>
          </w:tcPr>
          <w:p w14:paraId="3B266AC0">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 tens to hundreds bits</w:t>
            </w:r>
          </w:p>
        </w:tc>
        <w:tc>
          <w:tcPr>
            <w:tcW w:w="1535" w:type="dxa"/>
            <w:shd w:val="clear" w:color="auto" w:fill="auto"/>
            <w:vAlign w:val="top"/>
          </w:tcPr>
          <w:p w14:paraId="7EAB96F0">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1"/>
              </w:rPr>
              <w:t>Near-real-time</w:t>
            </w:r>
          </w:p>
        </w:tc>
        <w:tc>
          <w:tcPr>
            <w:tcW w:w="1113" w:type="dxa"/>
          </w:tcPr>
          <w:p w14:paraId="12B20359">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35" w:type="dxa"/>
          </w:tcPr>
          <w:p w14:paraId="3A417A84">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800" w:type="dxa"/>
          </w:tcPr>
          <w:p w14:paraId="06E5D37F">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tc>
      </w:tr>
    </w:tbl>
    <w:p w14:paraId="3E498EBB">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2: For use cases with gNB-sided model (e.g. beam management), the data can be produced by the UE, and consumed by gNB/OAM for model training, or by gNB for inference and monitoring. The typical data content includes L1 measurement results.</w:t>
      </w:r>
    </w:p>
    <w:p w14:paraId="248AD5C3">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For LMF-sided model, the model can be trained at LMF, and data collection is initiated by LMF. The typical data content, data size, latency requirement, and data producer, consumer, transfer path for LMF-sided model are listed as following table based on RAN1 LS [3], where positioning case 2b and case 3b are taken as examples.</w:t>
      </w:r>
    </w:p>
    <w:p w14:paraId="3DA829A9">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4. Typical data type for LMF-sided model (e.g. Positioning case 2b, 3b)</w:t>
      </w:r>
    </w:p>
    <w:tbl>
      <w:tblPr>
        <w:tblStyle w:val="17"/>
        <w:tblW w:w="995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788"/>
        <w:gridCol w:w="1558"/>
        <w:gridCol w:w="1390"/>
        <w:gridCol w:w="1108"/>
        <w:gridCol w:w="1269"/>
        <w:gridCol w:w="1604"/>
      </w:tblGrid>
      <w:tr w14:paraId="2B018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tcPr>
          <w:p w14:paraId="696E4112">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LCM procedure</w:t>
            </w:r>
          </w:p>
        </w:tc>
        <w:tc>
          <w:tcPr>
            <w:tcW w:w="1788" w:type="dxa"/>
          </w:tcPr>
          <w:p w14:paraId="5708E749">
            <w:pPr>
              <w:spacing w:before="120" w:beforeLines="50" w:after="120" w:line="260" w:lineRule="exact"/>
              <w:rPr>
                <w:rFonts w:hint="eastAsia"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558" w:type="dxa"/>
          </w:tcPr>
          <w:p w14:paraId="45C6A9AB">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 (per data sample)</w:t>
            </w:r>
          </w:p>
        </w:tc>
        <w:tc>
          <w:tcPr>
            <w:tcW w:w="1390" w:type="dxa"/>
            <w:shd w:val="clear" w:color="auto" w:fill="auto"/>
            <w:vAlign w:val="top"/>
          </w:tcPr>
          <w:p w14:paraId="27989A1B">
            <w:pPr>
              <w:spacing w:before="120" w:beforeLines="50" w:after="120" w:line="260" w:lineRule="exact"/>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w:t>
            </w:r>
          </w:p>
        </w:tc>
        <w:tc>
          <w:tcPr>
            <w:tcW w:w="1108" w:type="dxa"/>
          </w:tcPr>
          <w:p w14:paraId="19880A95">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69" w:type="dxa"/>
          </w:tcPr>
          <w:p w14:paraId="63E192B8">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1604" w:type="dxa"/>
          </w:tcPr>
          <w:p w14:paraId="5AEAA09C">
            <w:pPr>
              <w:spacing w:before="120" w:beforeLines="50" w:after="120" w:line="260" w:lineRule="exact"/>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Transfer path</w:t>
            </w:r>
          </w:p>
        </w:tc>
      </w:tr>
      <w:tr w14:paraId="60C8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restart"/>
            <w:shd w:val="clear" w:color="auto" w:fill="auto"/>
            <w:vAlign w:val="top"/>
          </w:tcPr>
          <w:p w14:paraId="4C55227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p>
        </w:tc>
        <w:tc>
          <w:tcPr>
            <w:tcW w:w="1788" w:type="dxa"/>
          </w:tcPr>
          <w:p w14:paraId="73CF616D">
            <w:pPr>
              <w:jc w:val="left"/>
              <w:rPr>
                <w:rFonts w:hint="default" w:ascii="Arial" w:hAnsi="Arial" w:cs="Arial"/>
                <w:sz w:val="20"/>
                <w:szCs w:val="20"/>
              </w:rPr>
            </w:pPr>
            <w:r>
              <w:rPr>
                <w:rFonts w:hint="default" w:ascii="Arial" w:hAnsi="Arial" w:cs="Arial"/>
                <w:sz w:val="20"/>
                <w:szCs w:val="20"/>
              </w:rPr>
              <w:t>Measurements: timing, power, and/or phase info</w:t>
            </w:r>
          </w:p>
          <w:p w14:paraId="6CAB15B3">
            <w:pPr>
              <w:spacing w:before="120" w:beforeLines="50" w:after="120" w:line="260" w:lineRule="exact"/>
              <w:jc w:val="left"/>
              <w:rPr>
                <w:rFonts w:hint="default" w:ascii="Arial" w:hAnsi="Arial" w:cs="Arial" w:eastAsiaTheme="minorEastAsia"/>
                <w:sz w:val="20"/>
                <w:szCs w:val="20"/>
                <w:lang w:val="en-US" w:eastAsia="zh-CN"/>
              </w:rPr>
            </w:pPr>
            <w:r>
              <w:rPr>
                <w:rFonts w:hint="default" w:ascii="Arial" w:hAnsi="Arial" w:cs="Arial"/>
                <w:sz w:val="20"/>
                <w:szCs w:val="20"/>
              </w:rPr>
              <w:t>Label</w:t>
            </w:r>
            <w:r>
              <w:rPr>
                <w:rFonts w:hint="eastAsia" w:ascii="Arial" w:hAnsi="Arial" w:cs="Arial"/>
                <w:sz w:val="20"/>
                <w:szCs w:val="20"/>
                <w:lang w:val="en-US" w:eastAsia="zh-CN"/>
              </w:rPr>
              <w:t xml:space="preserve"> for </w:t>
            </w:r>
            <w:r>
              <w:rPr>
                <w:rFonts w:hint="default" w:ascii="Arial" w:hAnsi="Arial" w:cs="Arial"/>
                <w:sz w:val="20"/>
                <w:szCs w:val="20"/>
                <w:lang w:val="en-US" w:eastAsia="zh-CN"/>
              </w:rPr>
              <w:t xml:space="preserve">Case 2b: </w:t>
            </w:r>
            <w:r>
              <w:rPr>
                <w:rFonts w:hint="default" w:ascii="Arial" w:hAnsi="Arial" w:cs="Arial"/>
                <w:sz w:val="20"/>
                <w:szCs w:val="20"/>
              </w:rPr>
              <w:t>Location coordinates</w:t>
            </w:r>
          </w:p>
        </w:tc>
        <w:tc>
          <w:tcPr>
            <w:tcW w:w="1558" w:type="dxa"/>
          </w:tcPr>
          <w:p w14:paraId="7BF85EF0">
            <w:pPr>
              <w:jc w:val="left"/>
              <w:rPr>
                <w:rFonts w:hint="default" w:ascii="Arial" w:hAnsi="Arial" w:cs="Arial"/>
                <w:sz w:val="20"/>
                <w:szCs w:val="20"/>
              </w:rPr>
            </w:pPr>
            <w:r>
              <w:rPr>
                <w:rFonts w:hint="default" w:ascii="Arial" w:hAnsi="Arial" w:cs="Arial"/>
                <w:sz w:val="20"/>
                <w:szCs w:val="20"/>
                <w:lang w:val="en-US" w:eastAsia="zh-CN"/>
              </w:rPr>
              <w:t xml:space="preserve">Measurement: </w:t>
            </w:r>
            <w:r>
              <w:rPr>
                <w:rFonts w:hint="default" w:ascii="Arial" w:hAnsi="Arial" w:cs="Arial"/>
                <w:sz w:val="20"/>
                <w:szCs w:val="20"/>
              </w:rPr>
              <w:t>~100 bits to 1000s bits per PRS/SRS resource</w:t>
            </w:r>
          </w:p>
          <w:p w14:paraId="459B2A19">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cs="Arial"/>
                <w:sz w:val="20"/>
                <w:szCs w:val="20"/>
                <w:lang w:val="en-US" w:eastAsia="zh-CN"/>
              </w:rPr>
              <w:t xml:space="preserve">Label: </w:t>
            </w:r>
            <w:r>
              <w:rPr>
                <w:rFonts w:hint="default" w:ascii="Arial" w:hAnsi="Arial" w:cs="Arial"/>
                <w:sz w:val="20"/>
                <w:szCs w:val="20"/>
              </w:rPr>
              <w:t xml:space="preserve">56 to 144 bits </w:t>
            </w:r>
          </w:p>
        </w:tc>
        <w:tc>
          <w:tcPr>
            <w:tcW w:w="1390" w:type="dxa"/>
            <w:shd w:val="clear" w:color="auto" w:fill="auto"/>
            <w:vAlign w:val="top"/>
          </w:tcPr>
          <w:p w14:paraId="1402ABC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Relaxed</w:t>
            </w:r>
          </w:p>
        </w:tc>
        <w:tc>
          <w:tcPr>
            <w:tcW w:w="1108" w:type="dxa"/>
          </w:tcPr>
          <w:p w14:paraId="2A9FE88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69" w:type="dxa"/>
          </w:tcPr>
          <w:p w14:paraId="65280A3B">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LMF</w:t>
            </w:r>
          </w:p>
        </w:tc>
        <w:tc>
          <w:tcPr>
            <w:tcW w:w="1604" w:type="dxa"/>
          </w:tcPr>
          <w:p w14:paraId="5FC0A735">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UE-&gt;LMF</w:t>
            </w:r>
          </w:p>
        </w:tc>
      </w:tr>
      <w:tr w14:paraId="3B790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continue"/>
            <w:shd w:val="clear" w:color="auto" w:fill="auto"/>
            <w:vAlign w:val="top"/>
          </w:tcPr>
          <w:p w14:paraId="38C38742">
            <w:pPr>
              <w:spacing w:before="120" w:beforeLines="50" w:after="120" w:line="260" w:lineRule="exact"/>
              <w:rPr>
                <w:rFonts w:hint="default" w:ascii="Arial" w:hAnsi="Arial" w:cs="Arial"/>
                <w:sz w:val="20"/>
                <w:szCs w:val="20"/>
                <w:vertAlign w:val="baseline"/>
                <w:lang w:val="en-US" w:eastAsia="zh-CN"/>
              </w:rPr>
            </w:pPr>
          </w:p>
        </w:tc>
        <w:tc>
          <w:tcPr>
            <w:tcW w:w="1788" w:type="dxa"/>
          </w:tcPr>
          <w:p w14:paraId="4B77B86D">
            <w:pPr>
              <w:jc w:val="left"/>
              <w:rPr>
                <w:rFonts w:hint="default" w:ascii="Arial" w:hAnsi="Arial" w:cs="Arial"/>
                <w:sz w:val="20"/>
                <w:szCs w:val="20"/>
              </w:rPr>
            </w:pPr>
            <w:r>
              <w:rPr>
                <w:rFonts w:hint="default" w:ascii="Arial" w:hAnsi="Arial" w:cs="Arial"/>
                <w:sz w:val="20"/>
                <w:szCs w:val="20"/>
              </w:rPr>
              <w:t>Measurements: timing, power, and/or phase info</w:t>
            </w:r>
          </w:p>
          <w:p w14:paraId="678FA12A">
            <w:pPr>
              <w:spacing w:before="120" w:beforeLines="50" w:after="120" w:line="260" w:lineRule="exact"/>
              <w:jc w:val="left"/>
              <w:rPr>
                <w:rFonts w:hint="default" w:ascii="Arial" w:hAnsi="Arial" w:cs="Arial"/>
                <w:sz w:val="20"/>
                <w:szCs w:val="20"/>
                <w:lang w:val="en-US" w:eastAsia="zh-CN"/>
              </w:rPr>
            </w:pPr>
            <w:r>
              <w:rPr>
                <w:rFonts w:hint="default" w:ascii="Arial" w:hAnsi="Arial" w:cs="Arial"/>
                <w:sz w:val="20"/>
                <w:szCs w:val="20"/>
              </w:rPr>
              <w:t>Label</w:t>
            </w:r>
            <w:r>
              <w:rPr>
                <w:rFonts w:hint="eastAsia" w:ascii="Arial" w:hAnsi="Arial" w:cs="Arial"/>
                <w:sz w:val="20"/>
                <w:szCs w:val="20"/>
                <w:lang w:val="en-US" w:eastAsia="zh-CN"/>
              </w:rPr>
              <w:t xml:space="preserve"> for </w:t>
            </w:r>
            <w:r>
              <w:rPr>
                <w:rFonts w:hint="default" w:ascii="Arial" w:hAnsi="Arial" w:cs="Arial"/>
                <w:sz w:val="20"/>
                <w:szCs w:val="20"/>
                <w:lang w:val="en-US" w:eastAsia="zh-CN"/>
              </w:rPr>
              <w:t>Case 3b:</w:t>
            </w:r>
            <w:r>
              <w:rPr>
                <w:rFonts w:hint="eastAsia" w:ascii="Arial" w:hAnsi="Arial" w:cs="Arial"/>
                <w:sz w:val="20"/>
                <w:szCs w:val="20"/>
                <w:lang w:val="en-US" w:eastAsia="zh-CN"/>
              </w:rPr>
              <w:t xml:space="preserve"> </w:t>
            </w:r>
            <w:r>
              <w:rPr>
                <w:rFonts w:hint="default" w:ascii="Arial" w:hAnsi="Arial" w:cs="Arial"/>
                <w:sz w:val="20"/>
                <w:szCs w:val="20"/>
              </w:rPr>
              <w:t>Location coordinates</w:t>
            </w:r>
          </w:p>
        </w:tc>
        <w:tc>
          <w:tcPr>
            <w:tcW w:w="1558" w:type="dxa"/>
          </w:tcPr>
          <w:p w14:paraId="29F8DC53">
            <w:pPr>
              <w:jc w:val="left"/>
              <w:rPr>
                <w:rFonts w:hint="default" w:ascii="Arial" w:hAnsi="Arial" w:cs="Arial"/>
                <w:sz w:val="20"/>
                <w:szCs w:val="20"/>
              </w:rPr>
            </w:pPr>
            <w:r>
              <w:rPr>
                <w:rFonts w:hint="default" w:ascii="Arial" w:hAnsi="Arial" w:cs="Arial"/>
                <w:sz w:val="20"/>
                <w:szCs w:val="20"/>
                <w:lang w:val="en-US" w:eastAsia="zh-CN"/>
              </w:rPr>
              <w:t xml:space="preserve">Measurement: </w:t>
            </w:r>
            <w:r>
              <w:rPr>
                <w:rFonts w:hint="default" w:ascii="Arial" w:hAnsi="Arial" w:cs="Arial"/>
                <w:sz w:val="20"/>
                <w:szCs w:val="20"/>
              </w:rPr>
              <w:t>~100 bits to 1000s bits per PRS/SRS resource</w:t>
            </w:r>
          </w:p>
          <w:p w14:paraId="1C8B52D6">
            <w:pPr>
              <w:jc w:val="left"/>
              <w:rPr>
                <w:rFonts w:hint="default" w:ascii="Arial" w:hAnsi="Arial" w:cs="Arial"/>
                <w:sz w:val="20"/>
                <w:szCs w:val="20"/>
                <w:lang w:val="en-US" w:eastAsia="zh-CN"/>
              </w:rPr>
            </w:pPr>
            <w:r>
              <w:rPr>
                <w:rFonts w:hint="default" w:ascii="Arial" w:hAnsi="Arial" w:cs="Arial"/>
                <w:sz w:val="20"/>
                <w:szCs w:val="20"/>
                <w:lang w:val="en-US" w:eastAsia="zh-CN"/>
              </w:rPr>
              <w:t xml:space="preserve">Label: </w:t>
            </w:r>
            <w:r>
              <w:rPr>
                <w:rFonts w:hint="default" w:ascii="Arial" w:hAnsi="Arial" w:cs="Arial"/>
                <w:sz w:val="20"/>
                <w:szCs w:val="20"/>
              </w:rPr>
              <w:t xml:space="preserve">56 to 144 bits </w:t>
            </w:r>
          </w:p>
        </w:tc>
        <w:tc>
          <w:tcPr>
            <w:tcW w:w="1390" w:type="dxa"/>
            <w:shd w:val="clear" w:color="auto" w:fill="auto"/>
            <w:vAlign w:val="top"/>
          </w:tcPr>
          <w:p w14:paraId="531A5FB5">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108" w:type="dxa"/>
          </w:tcPr>
          <w:p w14:paraId="3B8FBBB9">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highlight w:val="none"/>
                <w:vertAlign w:val="baseline"/>
                <w:lang w:val="en-US" w:eastAsia="zh-CN"/>
              </w:rPr>
              <w:t xml:space="preserve">UE (location), </w:t>
            </w:r>
            <w:r>
              <w:rPr>
                <w:rFonts w:hint="default" w:ascii="Arial" w:hAnsi="Arial" w:cs="Arial"/>
                <w:sz w:val="20"/>
                <w:szCs w:val="20"/>
                <w:highlight w:val="none"/>
                <w:vertAlign w:val="baseline"/>
                <w:lang w:val="en-US" w:eastAsia="zh-CN"/>
              </w:rPr>
              <w:t>gNB</w:t>
            </w:r>
            <w:r>
              <w:rPr>
                <w:rFonts w:hint="eastAsia" w:ascii="Arial" w:hAnsi="Arial" w:cs="Arial"/>
                <w:sz w:val="20"/>
                <w:szCs w:val="20"/>
                <w:highlight w:val="none"/>
                <w:vertAlign w:val="baseline"/>
                <w:lang w:val="en-US" w:eastAsia="zh-CN"/>
              </w:rPr>
              <w:t xml:space="preserve"> (measurement)</w:t>
            </w:r>
          </w:p>
        </w:tc>
        <w:tc>
          <w:tcPr>
            <w:tcW w:w="1269" w:type="dxa"/>
          </w:tcPr>
          <w:p w14:paraId="46BA78B1">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LMF</w:t>
            </w:r>
          </w:p>
        </w:tc>
        <w:tc>
          <w:tcPr>
            <w:tcW w:w="1604" w:type="dxa"/>
          </w:tcPr>
          <w:p w14:paraId="701C2B13">
            <w:pPr>
              <w:spacing w:before="120" w:beforeLines="50" w:after="120" w:line="260" w:lineRule="exact"/>
              <w:rPr>
                <w:rFonts w:hint="eastAsia" w:ascii="Arial" w:hAnsi="Arial" w:cs="Arial"/>
                <w:sz w:val="20"/>
                <w:szCs w:val="20"/>
                <w:vertAlign w:val="baseline"/>
                <w:lang w:val="en-US" w:eastAsia="zh-CN"/>
              </w:rPr>
            </w:pPr>
            <w:r>
              <w:rPr>
                <w:rFonts w:hint="default" w:ascii="Arial" w:hAnsi="Arial" w:cs="Arial"/>
                <w:sz w:val="20"/>
                <w:szCs w:val="20"/>
                <w:vertAlign w:val="baseline"/>
                <w:lang w:val="en-US" w:eastAsia="zh-CN"/>
              </w:rPr>
              <w:t>UE-&gt;LMF</w:t>
            </w:r>
            <w:r>
              <w:rPr>
                <w:rFonts w:hint="eastAsia" w:ascii="Arial" w:hAnsi="Arial" w:cs="Arial"/>
                <w:sz w:val="20"/>
                <w:szCs w:val="20"/>
                <w:vertAlign w:val="baseline"/>
                <w:lang w:val="en-US" w:eastAsia="zh-CN"/>
              </w:rPr>
              <w:t>,</w:t>
            </w:r>
          </w:p>
          <w:p w14:paraId="12D9AD6A">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gNB-&gt;LMF</w:t>
            </w:r>
          </w:p>
        </w:tc>
      </w:tr>
      <w:tr w14:paraId="2946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restart"/>
            <w:shd w:val="clear" w:color="auto" w:fill="auto"/>
            <w:vAlign w:val="top"/>
          </w:tcPr>
          <w:p w14:paraId="5FC3B29F">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Inference</w:t>
            </w:r>
          </w:p>
        </w:tc>
        <w:tc>
          <w:tcPr>
            <w:tcW w:w="1788" w:type="dxa"/>
          </w:tcPr>
          <w:p w14:paraId="72D3DBAD">
            <w:pPr>
              <w:jc w:val="left"/>
              <w:rPr>
                <w:rFonts w:hint="default" w:ascii="Arial" w:hAnsi="Arial" w:cs="Arial"/>
                <w:sz w:val="20"/>
                <w:szCs w:val="20"/>
              </w:rPr>
            </w:pPr>
            <w:r>
              <w:rPr>
                <w:rFonts w:hint="default" w:ascii="Arial" w:hAnsi="Arial" w:cs="Arial"/>
                <w:sz w:val="20"/>
                <w:szCs w:val="20"/>
                <w:lang w:val="en-US" w:eastAsia="zh-CN"/>
              </w:rPr>
              <w:t xml:space="preserve">Case 2b: </w:t>
            </w:r>
            <w:r>
              <w:rPr>
                <w:rFonts w:hint="default" w:ascii="Arial" w:hAnsi="Arial" w:cs="Arial"/>
                <w:sz w:val="20"/>
                <w:szCs w:val="20"/>
              </w:rPr>
              <w:t>Measurements:</w:t>
            </w:r>
          </w:p>
          <w:p w14:paraId="644D5C30">
            <w:pPr>
              <w:jc w:val="left"/>
              <w:rPr>
                <w:rFonts w:hint="default" w:ascii="Arial" w:hAnsi="Arial" w:cs="Arial"/>
                <w:sz w:val="20"/>
                <w:szCs w:val="20"/>
                <w:vertAlign w:val="baseline"/>
                <w:lang w:val="en-US" w:eastAsia="zh-CN"/>
              </w:rPr>
            </w:pPr>
            <w:r>
              <w:rPr>
                <w:rFonts w:hint="default" w:ascii="Arial" w:hAnsi="Arial" w:cs="Arial"/>
                <w:sz w:val="20"/>
                <w:szCs w:val="20"/>
              </w:rPr>
              <w:t xml:space="preserve">Timing, power, and/or phase info </w:t>
            </w:r>
          </w:p>
        </w:tc>
        <w:tc>
          <w:tcPr>
            <w:tcW w:w="1558" w:type="dxa"/>
          </w:tcPr>
          <w:p w14:paraId="5C15EF17">
            <w:pPr>
              <w:jc w:val="left"/>
              <w:rPr>
                <w:rFonts w:hint="default" w:ascii="Arial" w:hAnsi="Arial" w:cs="Arial"/>
                <w:sz w:val="20"/>
                <w:szCs w:val="20"/>
                <w:vertAlign w:val="baseline"/>
                <w:lang w:val="en-US" w:eastAsia="zh-CN"/>
              </w:rPr>
            </w:pPr>
            <w:r>
              <w:rPr>
                <w:rFonts w:hint="default" w:ascii="Arial" w:hAnsi="Arial" w:cs="Arial"/>
                <w:sz w:val="20"/>
                <w:szCs w:val="20"/>
              </w:rPr>
              <w:t>~100 bits to 1000s bits per PRS/SRS resource</w:t>
            </w:r>
          </w:p>
        </w:tc>
        <w:tc>
          <w:tcPr>
            <w:tcW w:w="1390" w:type="dxa"/>
            <w:shd w:val="clear" w:color="auto" w:fill="auto"/>
            <w:vAlign w:val="top"/>
          </w:tcPr>
          <w:p w14:paraId="71632B29">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0"/>
              </w:rPr>
              <w:t>Time-critical</w:t>
            </w:r>
          </w:p>
        </w:tc>
        <w:tc>
          <w:tcPr>
            <w:tcW w:w="1108" w:type="dxa"/>
          </w:tcPr>
          <w:p w14:paraId="3566195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69" w:type="dxa"/>
          </w:tcPr>
          <w:p w14:paraId="3521E164">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LMF</w:t>
            </w:r>
          </w:p>
        </w:tc>
        <w:tc>
          <w:tcPr>
            <w:tcW w:w="1604" w:type="dxa"/>
          </w:tcPr>
          <w:p w14:paraId="352013A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UE-&gt;LMF</w:t>
            </w:r>
          </w:p>
        </w:tc>
      </w:tr>
      <w:tr w14:paraId="21DE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5" w:type="dxa"/>
            <w:vMerge w:val="continue"/>
            <w:shd w:val="clear" w:color="auto" w:fill="auto"/>
            <w:vAlign w:val="top"/>
          </w:tcPr>
          <w:p w14:paraId="2FF4AC16">
            <w:pPr>
              <w:spacing w:before="120" w:beforeLines="50" w:after="120" w:line="260" w:lineRule="exact"/>
              <w:rPr>
                <w:rFonts w:hint="default" w:ascii="Arial" w:hAnsi="Arial" w:cs="Arial"/>
                <w:sz w:val="20"/>
                <w:szCs w:val="20"/>
                <w:vertAlign w:val="baseline"/>
                <w:lang w:val="en-US" w:eastAsia="zh-CN"/>
              </w:rPr>
            </w:pPr>
          </w:p>
        </w:tc>
        <w:tc>
          <w:tcPr>
            <w:tcW w:w="1788" w:type="dxa"/>
            <w:shd w:val="clear" w:color="auto" w:fill="auto"/>
            <w:vAlign w:val="top"/>
          </w:tcPr>
          <w:p w14:paraId="0540E7B7">
            <w:pPr>
              <w:jc w:val="left"/>
              <w:rPr>
                <w:rFonts w:hint="default" w:ascii="Arial" w:hAnsi="Arial" w:cs="Arial"/>
                <w:sz w:val="20"/>
                <w:szCs w:val="20"/>
              </w:rPr>
            </w:pPr>
            <w:r>
              <w:rPr>
                <w:rFonts w:hint="default" w:ascii="Arial" w:hAnsi="Arial" w:cs="Arial"/>
                <w:sz w:val="20"/>
                <w:szCs w:val="20"/>
                <w:lang w:val="en-US" w:eastAsia="zh-CN"/>
              </w:rPr>
              <w:t xml:space="preserve">Case 3b: </w:t>
            </w:r>
            <w:r>
              <w:rPr>
                <w:rFonts w:hint="default" w:ascii="Arial" w:hAnsi="Arial" w:cs="Arial"/>
                <w:sz w:val="20"/>
                <w:szCs w:val="20"/>
              </w:rPr>
              <w:t>Measurements:</w:t>
            </w:r>
          </w:p>
          <w:p w14:paraId="5F29F825">
            <w:pPr>
              <w:jc w:val="lef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rPr>
              <w:t xml:space="preserve">Timing, power, and/or phase info </w:t>
            </w:r>
          </w:p>
        </w:tc>
        <w:tc>
          <w:tcPr>
            <w:tcW w:w="1558" w:type="dxa"/>
            <w:shd w:val="clear" w:color="auto" w:fill="auto"/>
            <w:vAlign w:val="top"/>
          </w:tcPr>
          <w:p w14:paraId="36FD28E4">
            <w:pPr>
              <w:jc w:val="lef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rPr>
              <w:t>~100 bits to 1000s bits per PRS/SRS resource</w:t>
            </w:r>
          </w:p>
        </w:tc>
        <w:tc>
          <w:tcPr>
            <w:tcW w:w="1390" w:type="dxa"/>
            <w:shd w:val="clear" w:color="auto" w:fill="auto"/>
            <w:vAlign w:val="top"/>
          </w:tcPr>
          <w:p w14:paraId="57FFDF1D">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0"/>
              </w:rPr>
              <w:t>Time-critical</w:t>
            </w:r>
          </w:p>
        </w:tc>
        <w:tc>
          <w:tcPr>
            <w:tcW w:w="1108" w:type="dxa"/>
            <w:shd w:val="clear" w:color="auto" w:fill="auto"/>
            <w:vAlign w:val="top"/>
          </w:tcPr>
          <w:p w14:paraId="1A367E16">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kern w:val="2"/>
                <w:sz w:val="20"/>
                <w:szCs w:val="20"/>
                <w:vertAlign w:val="baseline"/>
                <w:lang w:val="en-US" w:eastAsia="zh-CN" w:bidi="ar-SA"/>
              </w:rPr>
              <w:t>gNB</w:t>
            </w:r>
          </w:p>
        </w:tc>
        <w:tc>
          <w:tcPr>
            <w:tcW w:w="1269" w:type="dxa"/>
            <w:shd w:val="clear" w:color="auto" w:fill="auto"/>
            <w:vAlign w:val="top"/>
          </w:tcPr>
          <w:p w14:paraId="3C4B4AB8">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LMF</w:t>
            </w:r>
          </w:p>
        </w:tc>
        <w:tc>
          <w:tcPr>
            <w:tcW w:w="1604" w:type="dxa"/>
            <w:shd w:val="clear" w:color="auto" w:fill="auto"/>
            <w:vAlign w:val="top"/>
          </w:tcPr>
          <w:p w14:paraId="58069633">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gNB-&gt;LMF</w:t>
            </w:r>
          </w:p>
        </w:tc>
      </w:tr>
    </w:tbl>
    <w:p w14:paraId="4A0F72FA">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use cases with LMF-sided model (e.g. positioning), the data can be produced by the UE or gNB, and consumed by LMF for model training, inference and monitoring. The typical data content includes positioning measurement results and UE location information.</w:t>
      </w:r>
    </w:p>
    <w:p w14:paraId="3D7F4862">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 xml:space="preserve">For two-sided model, the model training collaborations can include the following types. </w:t>
      </w:r>
    </w:p>
    <w:p w14:paraId="4B2165C4">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Type 1: Joint training of the two-sided model at a single side/entity, e.g., UE-sided or Network-sided.</w:t>
      </w:r>
    </w:p>
    <w:p w14:paraId="2D0BBD97">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Type 2: Joint training of the two-sided model at network side and UE side, respectively.</w:t>
      </w:r>
    </w:p>
    <w:p w14:paraId="57BC5BA5">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Type 3: Separate training at network side and UE side, where the UE-side CSI generation part and the NW-side CSI reconstruction part are trained by UE side and network side, respectively.</w:t>
      </w:r>
    </w:p>
    <w:p w14:paraId="14895D3A">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Furthermore, RAN1/RAN2 discussed that NW-side shares model parameters and/or dataset to the UE or UE-side via standardized signaling, where the model parameters and/or dataset received at the UE or UE-side go through offline engineering at the UE-side (e.g., UE-side OTT server), e.g., model (re-)training. The following solutions are captured in TR 38.843 [2].</w:t>
      </w:r>
    </w:p>
    <w:p w14:paraId="66883C9C">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Non-Over-The-Air (non-OTA) approach: gNB -&gt; NW dataset/model parameters collection entity -&gt; UE training entity (a server inside MNO or an OTT server)</w:t>
      </w:r>
    </w:p>
    <w:p w14:paraId="36AC01C3">
      <w:pPr>
        <w:spacing w:before="120" w:beforeLines="50" w:after="120" w:line="260" w:lineRule="exact"/>
        <w:ind w:leftChars="100"/>
        <w:rPr>
          <w:rFonts w:hint="default" w:ascii="Arial" w:hAnsi="Arial" w:cs="Arial"/>
          <w:sz w:val="21"/>
          <w:szCs w:val="21"/>
          <w:lang w:val="en-US" w:eastAsia="zh-CN"/>
        </w:rPr>
      </w:pPr>
      <w:r>
        <w:rPr>
          <w:rFonts w:hint="default" w:ascii="Arial" w:hAnsi="Arial" w:cs="Arial"/>
          <w:sz w:val="21"/>
          <w:szCs w:val="21"/>
          <w:lang w:val="en-US" w:eastAsia="zh-CN"/>
        </w:rPr>
        <w:t>-</w:t>
      </w:r>
      <w:r>
        <w:rPr>
          <w:rFonts w:hint="default" w:ascii="Arial" w:hAnsi="Arial" w:cs="Arial"/>
          <w:sz w:val="21"/>
          <w:szCs w:val="21"/>
          <w:lang w:val="en-US" w:eastAsia="zh-CN"/>
        </w:rPr>
        <w:tab/>
      </w:r>
      <w:r>
        <w:rPr>
          <w:rFonts w:hint="default" w:ascii="Arial" w:hAnsi="Arial" w:cs="Arial"/>
          <w:sz w:val="21"/>
          <w:szCs w:val="21"/>
          <w:lang w:val="en-US" w:eastAsia="zh-CN"/>
        </w:rPr>
        <w:t>Over-The-Air (OTA) approach:</w:t>
      </w:r>
      <w:r>
        <w:rPr>
          <w:rFonts w:hint="eastAsia" w:ascii="Arial" w:hAnsi="Arial" w:cs="Arial"/>
          <w:sz w:val="21"/>
          <w:szCs w:val="21"/>
          <w:lang w:val="en-US" w:eastAsia="zh-CN"/>
        </w:rPr>
        <w:t xml:space="preserve"> </w:t>
      </w:r>
      <w:r>
        <w:rPr>
          <w:rFonts w:hint="default" w:ascii="Arial" w:hAnsi="Arial" w:cs="Arial"/>
          <w:sz w:val="21"/>
          <w:szCs w:val="21"/>
          <w:lang w:val="en-US" w:eastAsia="zh-CN"/>
        </w:rPr>
        <w:t>gNB -&gt; NW dataset/model parameters collection entity (if needed) -&gt; gNB -&gt; UE -&gt; UE training entity (a server inside MNO or an OTT server)</w:t>
      </w:r>
    </w:p>
    <w:p w14:paraId="5420C4B4">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Based on RAN1 LS [3,4], the typical data content, data size, latency requirement, and data producer, consumer, transfer path for two-sided model are listed as following table, where CSI compression is taken as an example.</w:t>
      </w:r>
    </w:p>
    <w:p w14:paraId="159302E5">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5. Typical data type for two-sided model (e.g. CSI compression)</w:t>
      </w:r>
    </w:p>
    <w:tbl>
      <w:tblPr>
        <w:tblStyle w:val="17"/>
        <w:tblW w:w="9929"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1835"/>
        <w:gridCol w:w="1529"/>
        <w:gridCol w:w="1379"/>
        <w:gridCol w:w="1107"/>
        <w:gridCol w:w="1252"/>
        <w:gridCol w:w="1581"/>
      </w:tblGrid>
      <w:tr w14:paraId="2D748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tcPr>
          <w:p w14:paraId="737562CC">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LCM procedure</w:t>
            </w:r>
          </w:p>
        </w:tc>
        <w:tc>
          <w:tcPr>
            <w:tcW w:w="1835" w:type="dxa"/>
          </w:tcPr>
          <w:p w14:paraId="3F82E313">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Typical data content</w:t>
            </w:r>
          </w:p>
        </w:tc>
        <w:tc>
          <w:tcPr>
            <w:tcW w:w="1529" w:type="dxa"/>
          </w:tcPr>
          <w:p w14:paraId="3478960D">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Typical data size</w:t>
            </w:r>
          </w:p>
        </w:tc>
        <w:tc>
          <w:tcPr>
            <w:tcW w:w="1379" w:type="dxa"/>
            <w:shd w:val="clear" w:color="auto" w:fill="auto"/>
            <w:vAlign w:val="top"/>
          </w:tcPr>
          <w:p w14:paraId="2568ADA0">
            <w:pPr>
              <w:spacing w:before="120" w:beforeLines="50" w:after="120" w:line="260" w:lineRule="exact"/>
              <w:rPr>
                <w:rFonts w:hint="default" w:ascii="Arial" w:hAnsi="Arial" w:cs="Arial" w:eastAsiaTheme="minorEastAsia"/>
                <w:b/>
                <w:bCs/>
                <w:kern w:val="2"/>
                <w:sz w:val="20"/>
                <w:szCs w:val="20"/>
                <w:vertAlign w:val="baseline"/>
                <w:lang w:val="en-US" w:eastAsia="zh-CN" w:bidi="ar-SA"/>
              </w:rPr>
            </w:pPr>
            <w:r>
              <w:rPr>
                <w:rFonts w:hint="default" w:ascii="Arial" w:hAnsi="Arial" w:cs="Arial"/>
                <w:b/>
                <w:bCs/>
                <w:sz w:val="20"/>
                <w:szCs w:val="20"/>
                <w:vertAlign w:val="baseline"/>
                <w:lang w:val="en-US" w:eastAsia="zh-CN"/>
              </w:rPr>
              <w:t>Typical latency requirement</w:t>
            </w:r>
          </w:p>
        </w:tc>
        <w:tc>
          <w:tcPr>
            <w:tcW w:w="1107" w:type="dxa"/>
          </w:tcPr>
          <w:p w14:paraId="0C82C388">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Producer</w:t>
            </w:r>
          </w:p>
        </w:tc>
        <w:tc>
          <w:tcPr>
            <w:tcW w:w="1252" w:type="dxa"/>
          </w:tcPr>
          <w:p w14:paraId="301A0A88">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Consumer</w:t>
            </w:r>
          </w:p>
        </w:tc>
        <w:tc>
          <w:tcPr>
            <w:tcW w:w="1581" w:type="dxa"/>
          </w:tcPr>
          <w:p w14:paraId="66B7C38E">
            <w:pPr>
              <w:spacing w:before="120" w:beforeLines="50" w:after="120" w:line="260" w:lineRule="exact"/>
              <w:rPr>
                <w:rFonts w:hint="default" w:ascii="Arial" w:hAnsi="Arial" w:cs="Arial"/>
                <w:b/>
                <w:bCs/>
                <w:sz w:val="20"/>
                <w:szCs w:val="20"/>
                <w:vertAlign w:val="baseline"/>
                <w:lang w:val="en-US" w:eastAsia="zh-CN"/>
              </w:rPr>
            </w:pPr>
            <w:r>
              <w:rPr>
                <w:rFonts w:hint="default" w:ascii="Arial" w:hAnsi="Arial" w:cs="Arial"/>
                <w:b/>
                <w:bCs/>
                <w:sz w:val="20"/>
                <w:szCs w:val="20"/>
                <w:vertAlign w:val="baseline"/>
                <w:lang w:val="en-US" w:eastAsia="zh-CN"/>
              </w:rPr>
              <w:t>Transfer path</w:t>
            </w:r>
          </w:p>
        </w:tc>
      </w:tr>
      <w:tr w14:paraId="7FB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vMerge w:val="restart"/>
            <w:shd w:val="clear" w:color="auto" w:fill="auto"/>
            <w:vAlign w:val="top"/>
          </w:tcPr>
          <w:p w14:paraId="54CDD15C">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Training</w:t>
            </w:r>
            <w:r>
              <w:rPr>
                <w:rFonts w:hint="eastAsia" w:ascii="Arial" w:hAnsi="Arial" w:cs="Arial"/>
                <w:sz w:val="20"/>
                <w:szCs w:val="20"/>
                <w:vertAlign w:val="baseline"/>
                <w:lang w:val="en-US" w:eastAsia="zh-CN"/>
              </w:rPr>
              <w:t>, model parametersand/or dataset sharing</w:t>
            </w:r>
          </w:p>
        </w:tc>
        <w:tc>
          <w:tcPr>
            <w:tcW w:w="1835" w:type="dxa"/>
          </w:tcPr>
          <w:p w14:paraId="629C0D1F">
            <w:pPr>
              <w:spacing w:before="120" w:beforeLines="50" w:after="120" w:line="260" w:lineRule="exact"/>
              <w:jc w:val="left"/>
              <w:rPr>
                <w:rFonts w:hint="default" w:ascii="Arial" w:hAnsi="Arial" w:eastAsia="宋体" w:cs="Arial"/>
                <w:b w:val="0"/>
                <w:bCs/>
                <w:sz w:val="20"/>
                <w:szCs w:val="20"/>
                <w:lang w:val="en-US" w:eastAsia="zh-CN"/>
              </w:rPr>
            </w:pPr>
            <w:r>
              <w:rPr>
                <w:rFonts w:hint="eastAsia" w:ascii="Arial" w:hAnsi="Arial" w:eastAsia="宋体" w:cs="Arial"/>
                <w:b w:val="0"/>
                <w:bCs/>
                <w:sz w:val="20"/>
                <w:szCs w:val="20"/>
                <w:lang w:val="en-US" w:eastAsia="zh-CN"/>
              </w:rPr>
              <w:t>Target CSI</w:t>
            </w:r>
          </w:p>
        </w:tc>
        <w:tc>
          <w:tcPr>
            <w:tcW w:w="1529" w:type="dxa"/>
            <w:shd w:val="clear" w:color="auto" w:fill="auto"/>
            <w:vAlign w:val="top"/>
          </w:tcPr>
          <w:p w14:paraId="57C9E756">
            <w:pPr>
              <w:spacing w:before="120" w:beforeLines="50" w:after="120" w:line="260" w:lineRule="exact"/>
              <w:jc w:val="left"/>
              <w:rPr>
                <w:rFonts w:hint="default" w:ascii="Arial" w:hAnsi="Arial" w:cs="Arial" w:eastAsiaTheme="minorEastAsia"/>
                <w:b w:val="0"/>
                <w:bCs/>
                <w:sz w:val="20"/>
                <w:szCs w:val="20"/>
                <w:lang w:val="en-US" w:eastAsia="zh-CN"/>
              </w:rPr>
            </w:pPr>
            <w:r>
              <w:rPr>
                <w:rFonts w:hint="eastAsia" w:ascii="Arial" w:hAnsi="Arial" w:cs="Arial"/>
                <w:b w:val="0"/>
                <w:bCs/>
                <w:sz w:val="20"/>
                <w:szCs w:val="20"/>
                <w:lang w:val="en-US" w:eastAsia="zh-CN"/>
              </w:rPr>
              <w:t>See Note 1</w:t>
            </w:r>
          </w:p>
        </w:tc>
        <w:tc>
          <w:tcPr>
            <w:tcW w:w="1379" w:type="dxa"/>
            <w:shd w:val="clear" w:color="auto" w:fill="auto"/>
            <w:vAlign w:val="top"/>
          </w:tcPr>
          <w:p w14:paraId="35CE4AD0">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Relaxed</w:t>
            </w:r>
          </w:p>
        </w:tc>
        <w:tc>
          <w:tcPr>
            <w:tcW w:w="1107" w:type="dxa"/>
          </w:tcPr>
          <w:p w14:paraId="355FA806">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w:t>
            </w:r>
          </w:p>
        </w:tc>
        <w:tc>
          <w:tcPr>
            <w:tcW w:w="1252" w:type="dxa"/>
          </w:tcPr>
          <w:p w14:paraId="2B7FE215">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gNB</w:t>
            </w:r>
          </w:p>
        </w:tc>
        <w:tc>
          <w:tcPr>
            <w:tcW w:w="1581" w:type="dxa"/>
          </w:tcPr>
          <w:p w14:paraId="7E154AFB">
            <w:pPr>
              <w:spacing w:before="120" w:beforeLines="50" w:after="120" w:line="260" w:lineRule="exact"/>
              <w:rPr>
                <w:rFonts w:hint="default" w:ascii="Arial" w:hAnsi="Arial" w:cs="Arial"/>
                <w:sz w:val="20"/>
                <w:szCs w:val="20"/>
                <w:vertAlign w:val="baseline"/>
                <w:lang w:val="en-US" w:eastAsia="zh-CN"/>
              </w:rPr>
            </w:pPr>
            <w:r>
              <w:rPr>
                <w:rFonts w:hint="eastAsia" w:ascii="Arial" w:hAnsi="Arial" w:cs="Arial"/>
                <w:sz w:val="20"/>
                <w:szCs w:val="20"/>
                <w:vertAlign w:val="baseline"/>
                <w:lang w:val="en-US" w:eastAsia="zh-CN"/>
              </w:rPr>
              <w:t>UE-&gt;gNB</w:t>
            </w:r>
          </w:p>
        </w:tc>
      </w:tr>
      <w:tr w14:paraId="41E48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vMerge w:val="continue"/>
            <w:tcBorders/>
            <w:shd w:val="clear" w:color="auto" w:fill="auto"/>
            <w:vAlign w:val="top"/>
          </w:tcPr>
          <w:p w14:paraId="0520F26B">
            <w:pPr>
              <w:spacing w:before="120" w:beforeLines="50" w:after="120" w:line="260" w:lineRule="exact"/>
              <w:rPr>
                <w:rFonts w:hint="default" w:ascii="Arial" w:hAnsi="Arial" w:cs="Arial" w:eastAsiaTheme="minorEastAsia"/>
                <w:kern w:val="2"/>
                <w:sz w:val="20"/>
                <w:szCs w:val="20"/>
                <w:vertAlign w:val="baseline"/>
                <w:lang w:val="en-US" w:eastAsia="zh-CN" w:bidi="ar-SA"/>
              </w:rPr>
            </w:pPr>
          </w:p>
        </w:tc>
        <w:tc>
          <w:tcPr>
            <w:tcW w:w="1835" w:type="dxa"/>
          </w:tcPr>
          <w:p w14:paraId="7A486887">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eastAsia="Batang" w:cs="Arial"/>
                <w:b w:val="0"/>
                <w:bCs/>
                <w:sz w:val="20"/>
                <w:szCs w:val="20"/>
                <w:lang w:val="en-US" w:eastAsia="ko-KR"/>
              </w:rPr>
              <w:t>Option 4-1: sharing {target CSI, CSI feedback} dataset</w:t>
            </w:r>
          </w:p>
        </w:tc>
        <w:tc>
          <w:tcPr>
            <w:tcW w:w="1529" w:type="dxa"/>
            <w:shd w:val="clear" w:color="auto" w:fill="auto"/>
            <w:vAlign w:val="top"/>
          </w:tcPr>
          <w:p w14:paraId="199A7A6F">
            <w:pPr>
              <w:spacing w:before="120" w:beforeLines="50" w:after="120" w:line="260" w:lineRule="exact"/>
              <w:jc w:val="left"/>
              <w:rPr>
                <w:rFonts w:hint="default" w:ascii="Arial" w:hAnsi="Arial" w:cs="Arial" w:eastAsiaTheme="minorEastAsia"/>
                <w:b w:val="0"/>
                <w:bCs/>
                <w:kern w:val="2"/>
                <w:sz w:val="20"/>
                <w:szCs w:val="20"/>
                <w:vertAlign w:val="baseline"/>
                <w:lang w:val="en-US" w:eastAsia="zh-CN" w:bidi="ar-SA"/>
              </w:rPr>
            </w:pPr>
            <w:r>
              <w:rPr>
                <w:rFonts w:hint="default" w:ascii="Arial" w:hAnsi="Arial" w:cs="Arial"/>
                <w:b w:val="0"/>
                <w:bCs/>
                <w:sz w:val="20"/>
                <w:szCs w:val="20"/>
              </w:rPr>
              <w:t>225 MB</w:t>
            </w:r>
            <w:r>
              <w:rPr>
                <w:rFonts w:hint="default" w:ascii="Arial" w:hAnsi="Arial" w:cs="Arial"/>
                <w:b w:val="0"/>
                <w:bCs/>
                <w:sz w:val="20"/>
                <w:szCs w:val="20"/>
                <w:lang w:val="en-US" w:eastAsia="zh-CN"/>
              </w:rPr>
              <w:t xml:space="preserve"> (</w:t>
            </w:r>
            <w:r>
              <w:rPr>
                <w:rFonts w:hint="default" w:ascii="Arial" w:hAnsi="Arial" w:cs="Arial"/>
                <w:b w:val="0"/>
                <w:bCs/>
                <w:sz w:val="20"/>
                <w:szCs w:val="20"/>
              </w:rPr>
              <w:t>eType-II-like format</w:t>
            </w:r>
            <w:r>
              <w:rPr>
                <w:rFonts w:hint="default" w:ascii="Arial" w:hAnsi="Arial" w:cs="Arial"/>
                <w:b w:val="0"/>
                <w:bCs/>
                <w:sz w:val="20"/>
                <w:szCs w:val="20"/>
                <w:lang w:val="en-US" w:eastAsia="zh-CN"/>
              </w:rPr>
              <w:t>)</w:t>
            </w:r>
          </w:p>
        </w:tc>
        <w:tc>
          <w:tcPr>
            <w:tcW w:w="1379" w:type="dxa"/>
            <w:shd w:val="clear" w:color="auto" w:fill="auto"/>
            <w:vAlign w:val="top"/>
          </w:tcPr>
          <w:p w14:paraId="7FC8FC50">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Relaxed</w:t>
            </w:r>
          </w:p>
        </w:tc>
        <w:tc>
          <w:tcPr>
            <w:tcW w:w="1107" w:type="dxa"/>
          </w:tcPr>
          <w:p w14:paraId="5FD79EA3">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252" w:type="dxa"/>
          </w:tcPr>
          <w:p w14:paraId="7DDC700C">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w:t>
            </w:r>
          </w:p>
        </w:tc>
        <w:tc>
          <w:tcPr>
            <w:tcW w:w="1581" w:type="dxa"/>
            <w:vMerge w:val="restart"/>
          </w:tcPr>
          <w:p w14:paraId="687FB86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Non-OTA:</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gNB-&gt;[CN/OAM]-&gt;UE</w:t>
            </w:r>
            <w:r>
              <w:rPr>
                <w:rFonts w:hint="eastAsia" w:ascii="Arial" w:hAnsi="Arial" w:cs="Arial"/>
                <w:sz w:val="20"/>
                <w:szCs w:val="20"/>
                <w:vertAlign w:val="baseline"/>
                <w:lang w:val="en-US" w:eastAsia="zh-CN"/>
              </w:rPr>
              <w:t xml:space="preserve"> training entity</w:t>
            </w:r>
          </w:p>
          <w:p w14:paraId="427B9129">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OTA:</w:t>
            </w:r>
            <w:r>
              <w:rPr>
                <w:rFonts w:hint="eastAsia" w:ascii="Arial" w:hAnsi="Arial" w:cs="Arial"/>
                <w:sz w:val="20"/>
                <w:szCs w:val="20"/>
                <w:vertAlign w:val="baseline"/>
                <w:lang w:val="en-US" w:eastAsia="zh-CN"/>
              </w:rPr>
              <w:t xml:space="preserve"> </w:t>
            </w:r>
            <w:r>
              <w:rPr>
                <w:rFonts w:hint="default" w:ascii="Arial" w:hAnsi="Arial" w:cs="Arial"/>
                <w:sz w:val="20"/>
                <w:szCs w:val="20"/>
                <w:vertAlign w:val="baseline"/>
                <w:lang w:val="en-US" w:eastAsia="zh-CN"/>
              </w:rPr>
              <w:t>gNB-&gt;UE-&gt;UE</w:t>
            </w:r>
            <w:r>
              <w:rPr>
                <w:rFonts w:hint="eastAsia" w:ascii="Arial" w:hAnsi="Arial" w:cs="Arial"/>
                <w:sz w:val="20"/>
                <w:szCs w:val="20"/>
                <w:vertAlign w:val="baseline"/>
                <w:lang w:val="en-US" w:eastAsia="zh-CN"/>
              </w:rPr>
              <w:t xml:space="preserve"> training entity</w:t>
            </w:r>
          </w:p>
        </w:tc>
      </w:tr>
      <w:tr w14:paraId="6FBBC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vMerge w:val="continue"/>
            <w:tcBorders/>
            <w:shd w:val="clear" w:color="auto" w:fill="auto"/>
            <w:vAlign w:val="top"/>
          </w:tcPr>
          <w:p w14:paraId="05339A7A">
            <w:pPr>
              <w:spacing w:before="120" w:beforeLines="50" w:after="120" w:line="260" w:lineRule="exact"/>
              <w:rPr>
                <w:rFonts w:hint="default" w:ascii="Arial" w:hAnsi="Arial" w:cs="Arial"/>
                <w:sz w:val="20"/>
                <w:szCs w:val="20"/>
                <w:vertAlign w:val="baseline"/>
                <w:lang w:val="en-US" w:eastAsia="zh-CN"/>
              </w:rPr>
            </w:pPr>
          </w:p>
        </w:tc>
        <w:tc>
          <w:tcPr>
            <w:tcW w:w="1835" w:type="dxa"/>
          </w:tcPr>
          <w:p w14:paraId="20C75124">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eastAsia="Batang" w:cs="Arial"/>
                <w:b w:val="0"/>
                <w:bCs/>
                <w:sz w:val="20"/>
                <w:szCs w:val="20"/>
                <w:lang w:val="en-US" w:eastAsia="ko-KR"/>
              </w:rPr>
              <w:t>Option 3a-1 without target CSI: sharing encoder parameter</w:t>
            </w:r>
          </w:p>
        </w:tc>
        <w:tc>
          <w:tcPr>
            <w:tcW w:w="1529" w:type="dxa"/>
            <w:shd w:val="clear" w:color="auto" w:fill="auto"/>
            <w:vAlign w:val="top"/>
          </w:tcPr>
          <w:p w14:paraId="7FFB0646">
            <w:pPr>
              <w:spacing w:before="120" w:beforeLines="50" w:after="120" w:line="260" w:lineRule="exact"/>
              <w:jc w:val="left"/>
              <w:rPr>
                <w:rFonts w:hint="default" w:ascii="Arial" w:hAnsi="Arial" w:eastAsia="宋体" w:cs="Arial"/>
                <w:b w:val="0"/>
                <w:bCs/>
                <w:sz w:val="20"/>
                <w:szCs w:val="20"/>
                <w:lang w:val="en-US" w:eastAsia="zh-CN"/>
              </w:rPr>
            </w:pPr>
            <w:r>
              <w:rPr>
                <w:rFonts w:hint="default" w:ascii="Arial" w:hAnsi="Arial" w:eastAsia="宋体" w:cs="Arial"/>
                <w:b w:val="0"/>
                <w:bCs/>
                <w:sz w:val="20"/>
                <w:szCs w:val="20"/>
                <w:lang w:val="en-US" w:eastAsia="zh-CN"/>
              </w:rPr>
              <w:t>36KB~52M</w:t>
            </w:r>
          </w:p>
          <w:p w14:paraId="76D8DA08">
            <w:pPr>
              <w:spacing w:before="120" w:beforeLines="50" w:after="120" w:line="260" w:lineRule="exact"/>
              <w:jc w:val="left"/>
              <w:rPr>
                <w:rFonts w:hint="default" w:ascii="Arial" w:hAnsi="Arial" w:eastAsia="宋体" w:cs="Arial"/>
                <w:b w:val="0"/>
                <w:bCs/>
                <w:kern w:val="2"/>
                <w:sz w:val="20"/>
                <w:szCs w:val="20"/>
                <w:lang w:val="en-US" w:eastAsia="zh-CN" w:bidi="ar-SA"/>
              </w:rPr>
            </w:pPr>
            <w:r>
              <w:rPr>
                <w:rFonts w:hint="default" w:ascii="Arial" w:hAnsi="Arial" w:eastAsia="宋体" w:cs="Arial"/>
                <w:b w:val="0"/>
                <w:bCs/>
                <w:sz w:val="20"/>
                <w:szCs w:val="20"/>
                <w:lang w:val="en-US" w:eastAsia="zh-CN"/>
              </w:rPr>
              <w:t>median size: 11.6 MB</w:t>
            </w:r>
          </w:p>
        </w:tc>
        <w:tc>
          <w:tcPr>
            <w:tcW w:w="1379" w:type="dxa"/>
            <w:shd w:val="clear" w:color="auto" w:fill="auto"/>
            <w:vAlign w:val="top"/>
          </w:tcPr>
          <w:p w14:paraId="48254482">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107" w:type="dxa"/>
          </w:tcPr>
          <w:p w14:paraId="7EBF3CA3">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252" w:type="dxa"/>
          </w:tcPr>
          <w:p w14:paraId="07AC7178">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w:t>
            </w:r>
          </w:p>
        </w:tc>
        <w:tc>
          <w:tcPr>
            <w:tcW w:w="1581" w:type="dxa"/>
            <w:vMerge w:val="continue"/>
          </w:tcPr>
          <w:p w14:paraId="5653B5B6">
            <w:pPr>
              <w:spacing w:before="120" w:beforeLines="50" w:after="120" w:line="260" w:lineRule="exact"/>
              <w:rPr>
                <w:rFonts w:hint="default" w:ascii="Arial" w:hAnsi="Arial" w:cs="Arial"/>
                <w:sz w:val="20"/>
                <w:szCs w:val="20"/>
                <w:vertAlign w:val="baseline"/>
                <w:lang w:val="en-US" w:eastAsia="zh-CN"/>
              </w:rPr>
            </w:pPr>
          </w:p>
        </w:tc>
      </w:tr>
      <w:tr w14:paraId="7CCE0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vMerge w:val="continue"/>
            <w:tcBorders/>
            <w:shd w:val="clear" w:color="auto" w:fill="auto"/>
            <w:vAlign w:val="top"/>
          </w:tcPr>
          <w:p w14:paraId="460FCB83">
            <w:pPr>
              <w:spacing w:before="120" w:beforeLines="50" w:after="120" w:line="260" w:lineRule="exact"/>
              <w:rPr>
                <w:rFonts w:hint="default" w:ascii="Arial" w:hAnsi="Arial" w:cs="Arial"/>
                <w:sz w:val="20"/>
                <w:szCs w:val="20"/>
                <w:vertAlign w:val="baseline"/>
                <w:lang w:val="en-US" w:eastAsia="zh-CN"/>
              </w:rPr>
            </w:pPr>
          </w:p>
        </w:tc>
        <w:tc>
          <w:tcPr>
            <w:tcW w:w="1835" w:type="dxa"/>
          </w:tcPr>
          <w:p w14:paraId="11CB0F99">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eastAsia="Batang" w:cs="Arial"/>
                <w:b w:val="0"/>
                <w:bCs/>
                <w:sz w:val="20"/>
                <w:szCs w:val="20"/>
                <w:lang w:val="en-US" w:eastAsia="ko-KR"/>
              </w:rPr>
              <w:t>Option 3a-1 with target CSI: sharing encoder parameters, along with {target CSI} dataset</w:t>
            </w:r>
          </w:p>
        </w:tc>
        <w:tc>
          <w:tcPr>
            <w:tcW w:w="1529" w:type="dxa"/>
            <w:shd w:val="clear" w:color="auto" w:fill="auto"/>
            <w:vAlign w:val="top"/>
          </w:tcPr>
          <w:p w14:paraId="01FFEB0E">
            <w:pPr>
              <w:spacing w:before="120" w:beforeLines="50" w:after="120" w:line="260" w:lineRule="exact"/>
              <w:jc w:val="left"/>
              <w:rPr>
                <w:rFonts w:hint="default" w:ascii="Arial" w:hAnsi="Arial" w:eastAsia="宋体" w:cs="Arial"/>
                <w:b w:val="0"/>
                <w:bCs/>
                <w:sz w:val="20"/>
                <w:szCs w:val="20"/>
                <w:lang w:eastAsia="zh-CN"/>
              </w:rPr>
            </w:pPr>
            <w:r>
              <w:rPr>
                <w:rFonts w:hint="default" w:ascii="Arial" w:hAnsi="Arial" w:eastAsia="宋体" w:cs="Arial"/>
                <w:b w:val="0"/>
                <w:bCs/>
                <w:sz w:val="20"/>
                <w:szCs w:val="20"/>
                <w:lang w:eastAsia="zh-CN"/>
              </w:rPr>
              <w:t>N2 * (2000 bits) / (8bits/Byte) + 11.6 MB</w:t>
            </w:r>
          </w:p>
          <w:p w14:paraId="0B17BB8D">
            <w:pPr>
              <w:spacing w:before="120" w:beforeLines="50" w:after="120" w:line="260" w:lineRule="exact"/>
              <w:jc w:val="left"/>
              <w:rPr>
                <w:rFonts w:hint="default" w:ascii="Arial" w:hAnsi="Arial" w:eastAsia="宋体" w:cs="Arial"/>
                <w:b w:val="0"/>
                <w:bCs/>
                <w:kern w:val="2"/>
                <w:sz w:val="20"/>
                <w:szCs w:val="20"/>
                <w:lang w:val="en-US" w:eastAsia="zh-CN" w:bidi="ar-SA"/>
              </w:rPr>
            </w:pPr>
            <w:r>
              <w:rPr>
                <w:rFonts w:hint="default" w:ascii="Arial" w:hAnsi="Arial" w:eastAsia="宋体" w:cs="Arial"/>
                <w:b w:val="0"/>
                <w:bCs/>
                <w:sz w:val="20"/>
                <w:szCs w:val="20"/>
                <w:lang w:val="en-US" w:eastAsia="zh-CN"/>
              </w:rPr>
              <w:t>Note</w:t>
            </w:r>
            <w:r>
              <w:rPr>
                <w:rFonts w:hint="eastAsia" w:ascii="Arial" w:hAnsi="Arial" w:eastAsia="宋体" w:cs="Arial"/>
                <w:b w:val="0"/>
                <w:bCs/>
                <w:sz w:val="20"/>
                <w:szCs w:val="20"/>
                <w:lang w:val="en-US" w:eastAsia="zh-CN"/>
              </w:rPr>
              <w:t xml:space="preserve"> 2</w:t>
            </w:r>
          </w:p>
        </w:tc>
        <w:tc>
          <w:tcPr>
            <w:tcW w:w="1379" w:type="dxa"/>
            <w:shd w:val="clear" w:color="auto" w:fill="auto"/>
            <w:vAlign w:val="top"/>
          </w:tcPr>
          <w:p w14:paraId="3897E8D4">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Relaxed</w:t>
            </w:r>
          </w:p>
        </w:tc>
        <w:tc>
          <w:tcPr>
            <w:tcW w:w="1107" w:type="dxa"/>
          </w:tcPr>
          <w:p w14:paraId="523F1097">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252" w:type="dxa"/>
          </w:tcPr>
          <w:p w14:paraId="77306821">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r>
              <w:rPr>
                <w:rFonts w:hint="eastAsia" w:ascii="Arial" w:hAnsi="Arial" w:cs="Arial"/>
                <w:sz w:val="20"/>
                <w:szCs w:val="20"/>
                <w:vertAlign w:val="baseline"/>
                <w:lang w:val="en-US" w:eastAsia="zh-CN"/>
              </w:rPr>
              <w:t xml:space="preserve"> training entity</w:t>
            </w:r>
          </w:p>
        </w:tc>
        <w:tc>
          <w:tcPr>
            <w:tcW w:w="1581" w:type="dxa"/>
            <w:vMerge w:val="continue"/>
          </w:tcPr>
          <w:p w14:paraId="0DBE2129">
            <w:pPr>
              <w:spacing w:before="120" w:beforeLines="50" w:after="120" w:line="260" w:lineRule="exact"/>
              <w:rPr>
                <w:rFonts w:hint="default" w:ascii="Arial" w:hAnsi="Arial" w:cs="Arial"/>
                <w:sz w:val="20"/>
                <w:szCs w:val="20"/>
                <w:vertAlign w:val="baseline"/>
                <w:lang w:val="en-US" w:eastAsia="zh-CN"/>
              </w:rPr>
            </w:pPr>
          </w:p>
        </w:tc>
      </w:tr>
      <w:tr w14:paraId="2D7C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shd w:val="clear" w:color="auto" w:fill="auto"/>
            <w:vAlign w:val="top"/>
          </w:tcPr>
          <w:p w14:paraId="117EF843">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Inference</w:t>
            </w:r>
          </w:p>
        </w:tc>
        <w:tc>
          <w:tcPr>
            <w:tcW w:w="1835" w:type="dxa"/>
          </w:tcPr>
          <w:p w14:paraId="47BF5F86">
            <w:pPr>
              <w:spacing w:before="120" w:beforeLines="50" w:after="120" w:line="260" w:lineRule="exact"/>
              <w:jc w:val="left"/>
              <w:rPr>
                <w:rFonts w:hint="default" w:ascii="Arial" w:hAnsi="Arial" w:cs="Arial"/>
                <w:sz w:val="20"/>
                <w:szCs w:val="20"/>
                <w:vertAlign w:val="baseline"/>
                <w:lang w:val="en-US" w:eastAsia="zh-CN"/>
              </w:rPr>
            </w:pPr>
            <w:r>
              <w:rPr>
                <w:rFonts w:hint="default" w:ascii="Arial" w:hAnsi="Arial" w:cs="Arial"/>
                <w:sz w:val="20"/>
                <w:szCs w:val="20"/>
              </w:rPr>
              <w:t>CSI Feedback</w:t>
            </w:r>
          </w:p>
        </w:tc>
        <w:tc>
          <w:tcPr>
            <w:tcW w:w="1529" w:type="dxa"/>
          </w:tcPr>
          <w:p w14:paraId="17833EB8">
            <w:pPr>
              <w:spacing w:before="120" w:beforeLines="50" w:after="120" w:line="260" w:lineRule="exact"/>
              <w:jc w:val="left"/>
              <w:rPr>
                <w:rFonts w:hint="default" w:ascii="Arial" w:hAnsi="Arial" w:cs="Arial"/>
                <w:sz w:val="20"/>
                <w:szCs w:val="20"/>
                <w:vertAlign w:val="baseline"/>
                <w:lang w:val="en-US" w:eastAsia="zh-CN"/>
              </w:rPr>
            </w:pPr>
            <w:r>
              <w:rPr>
                <w:rFonts w:hint="eastAsia" w:ascii="Arial" w:hAnsi="Arial" w:cs="Arial"/>
                <w:b w:val="0"/>
                <w:bCs w:val="0"/>
                <w:sz w:val="20"/>
                <w:szCs w:val="20"/>
                <w:vertAlign w:val="baseline"/>
                <w:lang w:val="en-US" w:eastAsia="zh-CN"/>
              </w:rPr>
              <w:t>P</w:t>
            </w:r>
            <w:r>
              <w:rPr>
                <w:rFonts w:hint="default" w:ascii="Arial" w:hAnsi="Arial" w:cs="Arial"/>
                <w:b w:val="0"/>
                <w:bCs w:val="0"/>
                <w:sz w:val="20"/>
                <w:szCs w:val="20"/>
                <w:vertAlign w:val="baseline"/>
                <w:lang w:val="en-US" w:eastAsia="zh-CN"/>
              </w:rPr>
              <w:t>er data sample</w:t>
            </w:r>
            <w:r>
              <w:rPr>
                <w:rFonts w:hint="eastAsia" w:ascii="Arial" w:hAnsi="Arial" w:cs="Arial"/>
                <w:b w:val="0"/>
                <w:bCs w:val="0"/>
                <w:sz w:val="20"/>
                <w:szCs w:val="20"/>
                <w:vertAlign w:val="baseline"/>
                <w:lang w:val="en-US" w:eastAsia="zh-CN"/>
              </w:rPr>
              <w:t xml:space="preserve">: </w:t>
            </w:r>
            <w:r>
              <w:rPr>
                <w:rFonts w:hint="default" w:ascii="Arial" w:hAnsi="Arial" w:cs="Arial"/>
                <w:sz w:val="20"/>
                <w:szCs w:val="20"/>
              </w:rPr>
              <w:t>up to ~ 1000 bits</w:t>
            </w:r>
          </w:p>
        </w:tc>
        <w:tc>
          <w:tcPr>
            <w:tcW w:w="1379" w:type="dxa"/>
            <w:shd w:val="clear" w:color="auto" w:fill="auto"/>
            <w:vAlign w:val="top"/>
          </w:tcPr>
          <w:p w14:paraId="43B9EDB5">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0"/>
              </w:rPr>
              <w:t>Time-critical</w:t>
            </w:r>
          </w:p>
        </w:tc>
        <w:tc>
          <w:tcPr>
            <w:tcW w:w="1107" w:type="dxa"/>
          </w:tcPr>
          <w:p w14:paraId="42E6F84E">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52" w:type="dxa"/>
          </w:tcPr>
          <w:p w14:paraId="0247D93E">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581" w:type="dxa"/>
          </w:tcPr>
          <w:p w14:paraId="2C79F0AD">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UE-&gt;gNB</w:t>
            </w:r>
          </w:p>
        </w:tc>
      </w:tr>
      <w:tr w14:paraId="017D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6" w:type="dxa"/>
            <w:shd w:val="clear" w:color="auto" w:fill="auto"/>
            <w:vAlign w:val="top"/>
          </w:tcPr>
          <w:p w14:paraId="7C4F1FC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cs="Arial"/>
                <w:sz w:val="20"/>
                <w:szCs w:val="20"/>
                <w:vertAlign w:val="baseline"/>
                <w:lang w:val="en-US" w:eastAsia="zh-CN"/>
              </w:rPr>
              <w:t>Monitoring</w:t>
            </w:r>
          </w:p>
        </w:tc>
        <w:tc>
          <w:tcPr>
            <w:tcW w:w="1835" w:type="dxa"/>
          </w:tcPr>
          <w:p w14:paraId="4AE86909">
            <w:pPr>
              <w:snapToGrid w:val="0"/>
              <w:spacing w:before="100" w:beforeAutospacing="1" w:after="120"/>
              <w:jc w:val="left"/>
              <w:rPr>
                <w:rFonts w:hint="default" w:ascii="Arial" w:hAnsi="Arial" w:cs="Arial"/>
                <w:sz w:val="20"/>
                <w:szCs w:val="20"/>
                <w:lang w:val="en-US" w:eastAsia="zh-CN"/>
              </w:rPr>
            </w:pPr>
            <w:r>
              <w:rPr>
                <w:rFonts w:hint="default" w:ascii="Arial" w:hAnsi="Arial" w:cs="Arial"/>
                <w:sz w:val="20"/>
                <w:szCs w:val="20"/>
              </w:rPr>
              <w:t>Reconstructed CSI from NW to UE</w:t>
            </w:r>
            <w:r>
              <w:rPr>
                <w:rFonts w:hint="default" w:ascii="Arial" w:hAnsi="Arial" w:cs="Arial"/>
                <w:sz w:val="20"/>
                <w:szCs w:val="20"/>
                <w:lang w:val="en-US" w:eastAsia="zh-CN"/>
              </w:rPr>
              <w:t>,</w:t>
            </w:r>
          </w:p>
          <w:p w14:paraId="37346DE6">
            <w:pPr>
              <w:snapToGrid w:val="0"/>
              <w:spacing w:before="100" w:beforeAutospacing="1" w:after="120"/>
              <w:jc w:val="left"/>
              <w:rPr>
                <w:rFonts w:hint="default" w:ascii="Arial" w:hAnsi="Arial" w:cs="Arial" w:eastAsiaTheme="minorEastAsia"/>
                <w:sz w:val="20"/>
                <w:szCs w:val="20"/>
                <w:lang w:val="en-US" w:eastAsia="zh-CN"/>
              </w:rPr>
            </w:pPr>
            <w:r>
              <w:rPr>
                <w:rFonts w:hint="default" w:ascii="Arial" w:hAnsi="Arial" w:cs="Arial"/>
                <w:sz w:val="20"/>
                <w:szCs w:val="20"/>
              </w:rPr>
              <w:t>Calculated performance metrics</w:t>
            </w:r>
            <w:r>
              <w:rPr>
                <w:rFonts w:hint="default" w:ascii="Arial" w:hAnsi="Arial" w:cs="Arial"/>
                <w:sz w:val="20"/>
                <w:szCs w:val="20"/>
                <w:lang w:val="en-US" w:eastAsia="zh-CN"/>
              </w:rPr>
              <w:t>,</w:t>
            </w:r>
          </w:p>
          <w:p w14:paraId="5445656B">
            <w:pPr>
              <w:snapToGrid w:val="0"/>
              <w:spacing w:before="100" w:beforeAutospacing="1" w:after="120"/>
              <w:jc w:val="left"/>
              <w:rPr>
                <w:rFonts w:hint="default" w:ascii="Arial" w:hAnsi="Arial" w:cs="Arial"/>
                <w:sz w:val="20"/>
                <w:szCs w:val="20"/>
                <w:lang w:val="en-US" w:eastAsia="zh-CN"/>
              </w:rPr>
            </w:pPr>
            <w:r>
              <w:rPr>
                <w:rFonts w:hint="default" w:ascii="Arial" w:hAnsi="Arial" w:cs="Arial"/>
                <w:sz w:val="20"/>
                <w:szCs w:val="20"/>
              </w:rPr>
              <w:t>Target CSI</w:t>
            </w:r>
          </w:p>
        </w:tc>
        <w:tc>
          <w:tcPr>
            <w:tcW w:w="1529" w:type="dxa"/>
          </w:tcPr>
          <w:p w14:paraId="282F9790">
            <w:pPr>
              <w:spacing w:before="120" w:beforeLines="50" w:after="120" w:line="260" w:lineRule="exact"/>
              <w:jc w:val="left"/>
              <w:rPr>
                <w:rFonts w:hint="default" w:ascii="Arial" w:hAnsi="Arial" w:cs="Arial"/>
                <w:sz w:val="20"/>
                <w:szCs w:val="20"/>
                <w:vertAlign w:val="baseline"/>
                <w:lang w:val="en-US" w:eastAsia="zh-CN"/>
              </w:rPr>
            </w:pPr>
            <w:r>
              <w:rPr>
                <w:rFonts w:hint="eastAsia" w:ascii="Arial" w:hAnsi="Arial" w:cs="Arial"/>
                <w:sz w:val="20"/>
                <w:szCs w:val="20"/>
                <w:lang w:val="en-US" w:eastAsia="zh-CN"/>
              </w:rPr>
              <w:t>See Note 1</w:t>
            </w:r>
          </w:p>
        </w:tc>
        <w:tc>
          <w:tcPr>
            <w:tcW w:w="1379" w:type="dxa"/>
            <w:shd w:val="clear" w:color="auto" w:fill="auto"/>
            <w:vAlign w:val="top"/>
          </w:tcPr>
          <w:p w14:paraId="276EC45A">
            <w:pPr>
              <w:spacing w:before="120" w:beforeLines="50" w:after="120" w:line="260" w:lineRule="exact"/>
              <w:rPr>
                <w:rFonts w:hint="default" w:ascii="Arial" w:hAnsi="Arial" w:cs="Arial" w:eastAsiaTheme="minorEastAsia"/>
                <w:kern w:val="2"/>
                <w:sz w:val="20"/>
                <w:szCs w:val="20"/>
                <w:vertAlign w:val="baseline"/>
                <w:lang w:val="en-US" w:eastAsia="zh-CN" w:bidi="ar-SA"/>
              </w:rPr>
            </w:pPr>
            <w:r>
              <w:rPr>
                <w:rFonts w:hint="default" w:ascii="Arial" w:hAnsi="Arial" w:eastAsia="宋体" w:cs="Arial"/>
                <w:sz w:val="20"/>
                <w:szCs w:val="20"/>
              </w:rPr>
              <w:t>Near-real-time</w:t>
            </w:r>
          </w:p>
        </w:tc>
        <w:tc>
          <w:tcPr>
            <w:tcW w:w="1107" w:type="dxa"/>
          </w:tcPr>
          <w:p w14:paraId="5B5D59C4">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w:t>
            </w:r>
          </w:p>
        </w:tc>
        <w:tc>
          <w:tcPr>
            <w:tcW w:w="1252" w:type="dxa"/>
          </w:tcPr>
          <w:p w14:paraId="29123500">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gNB</w:t>
            </w:r>
          </w:p>
        </w:tc>
        <w:tc>
          <w:tcPr>
            <w:tcW w:w="1581" w:type="dxa"/>
          </w:tcPr>
          <w:p w14:paraId="123CAF03">
            <w:pPr>
              <w:spacing w:before="120" w:beforeLines="50" w:after="120" w:line="260" w:lineRule="exact"/>
              <w:rPr>
                <w:rFonts w:hint="default" w:ascii="Arial" w:hAnsi="Arial" w:cs="Arial"/>
                <w:sz w:val="20"/>
                <w:szCs w:val="20"/>
                <w:vertAlign w:val="baseline"/>
                <w:lang w:val="en-US" w:eastAsia="zh-CN"/>
              </w:rPr>
            </w:pPr>
            <w:r>
              <w:rPr>
                <w:rFonts w:hint="default" w:ascii="Arial" w:hAnsi="Arial" w:cs="Arial"/>
                <w:sz w:val="20"/>
                <w:szCs w:val="20"/>
                <w:vertAlign w:val="baseline"/>
                <w:lang w:val="en-US" w:eastAsia="zh-CN"/>
              </w:rPr>
              <w:t>UE-&gt;gNB</w:t>
            </w:r>
          </w:p>
        </w:tc>
      </w:tr>
      <w:tr w14:paraId="2E7A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9" w:type="dxa"/>
            <w:gridSpan w:val="7"/>
            <w:shd w:val="clear" w:color="auto" w:fill="auto"/>
            <w:vAlign w:val="top"/>
          </w:tcPr>
          <w:p w14:paraId="5AB03814">
            <w:pPr>
              <w:spacing w:before="120" w:beforeLines="50" w:after="120" w:line="260" w:lineRule="exact"/>
              <w:rPr>
                <w:rFonts w:hint="eastAsia" w:ascii="Arial" w:hAnsi="Arial" w:cs="Arial" w:eastAsiaTheme="minorEastAsia"/>
                <w:sz w:val="20"/>
                <w:szCs w:val="20"/>
                <w:vertAlign w:val="baseline"/>
                <w:lang w:val="en-US" w:eastAsia="zh-CN"/>
              </w:rPr>
            </w:pPr>
            <w:r>
              <w:rPr>
                <w:rFonts w:hint="eastAsia" w:ascii="Arial" w:hAnsi="Arial" w:cs="Arial"/>
                <w:sz w:val="20"/>
                <w:szCs w:val="20"/>
                <w:vertAlign w:val="baseline"/>
                <w:lang w:val="en-US" w:eastAsia="zh-CN"/>
              </w:rPr>
              <w:t xml:space="preserve">Note 1: </w:t>
            </w:r>
            <w:r>
              <w:rPr>
                <w:rFonts w:ascii="Arial" w:hAnsi="Arial" w:cs="Arial"/>
                <w:sz w:val="20"/>
                <w:szCs w:val="20"/>
              </w:rPr>
              <w:t xml:space="preserve">Data size for target CSI depends on the format. </w:t>
            </w:r>
            <w:r>
              <w:rPr>
                <w:rFonts w:hint="eastAsia" w:ascii="Arial" w:hAnsi="Arial" w:cs="Arial"/>
                <w:sz w:val="20"/>
                <w:szCs w:val="20"/>
                <w:lang w:val="en-US" w:eastAsia="zh-CN"/>
              </w:rPr>
              <w:t>The example size p</w:t>
            </w:r>
            <w:r>
              <w:rPr>
                <w:rFonts w:hint="default" w:ascii="Arial" w:hAnsi="Arial" w:cs="Arial"/>
                <w:b w:val="0"/>
                <w:bCs w:val="0"/>
                <w:sz w:val="20"/>
                <w:szCs w:val="20"/>
                <w:vertAlign w:val="baseline"/>
                <w:lang w:val="en-US" w:eastAsia="zh-CN"/>
              </w:rPr>
              <w:t>er data sample</w:t>
            </w:r>
            <w:r>
              <w:rPr>
                <w:rFonts w:hint="eastAsia" w:ascii="Arial" w:hAnsi="Arial" w:cs="Arial"/>
                <w:b w:val="0"/>
                <w:bCs w:val="0"/>
                <w:sz w:val="20"/>
                <w:szCs w:val="20"/>
                <w:vertAlign w:val="baseline"/>
                <w:lang w:val="en-US" w:eastAsia="zh-CN"/>
              </w:rPr>
              <w:t xml:space="preserve"> is as: </w:t>
            </w:r>
            <w:r>
              <w:rPr>
                <w:rFonts w:hint="default" w:ascii="Arial" w:hAnsi="Arial" w:cs="Arial"/>
                <w:sz w:val="20"/>
                <w:szCs w:val="20"/>
              </w:rPr>
              <w:t>eType-II format (up to ~1000 bits), eType-II-like format (~ a few 1000 bits), and float32 format (up to ~ 150K bits)</w:t>
            </w:r>
            <w:r>
              <w:rPr>
                <w:rFonts w:hint="eastAsia" w:ascii="Arial" w:hAnsi="Arial" w:cs="Arial"/>
                <w:sz w:val="20"/>
                <w:szCs w:val="20"/>
                <w:lang w:val="en-US" w:eastAsia="zh-CN"/>
              </w:rPr>
              <w:t>.</w:t>
            </w:r>
          </w:p>
          <w:p w14:paraId="394986C3">
            <w:pPr>
              <w:spacing w:before="120" w:beforeLines="50" w:after="120" w:line="260" w:lineRule="exact"/>
              <w:rPr>
                <w:rFonts w:hint="eastAsia" w:ascii="Arial" w:hAnsi="Arial" w:cs="Arial" w:eastAsiaTheme="minorEastAsia"/>
                <w:sz w:val="20"/>
                <w:szCs w:val="20"/>
                <w:vertAlign w:val="baseline"/>
                <w:lang w:val="en-US" w:eastAsia="zh-CN"/>
              </w:rPr>
            </w:pPr>
            <w:r>
              <w:rPr>
                <w:rFonts w:hint="eastAsia" w:ascii="Arial" w:hAnsi="Arial" w:cs="Arial"/>
                <w:sz w:val="20"/>
                <w:szCs w:val="20"/>
                <w:vertAlign w:val="baseline"/>
                <w:lang w:val="en-US" w:eastAsia="zh-CN"/>
              </w:rPr>
              <w:t xml:space="preserve">Note 2: </w:t>
            </w:r>
            <w:r>
              <w:rPr>
                <w:rFonts w:hint="default" w:ascii="Arial" w:hAnsi="Arial" w:eastAsia="宋体" w:cs="Arial"/>
                <w:b w:val="0"/>
                <w:bCs/>
                <w:sz w:val="20"/>
                <w:szCs w:val="20"/>
                <w:lang w:val="en-US" w:eastAsia="zh-CN"/>
              </w:rPr>
              <w:t>N2 is t</w:t>
            </w:r>
            <w:r>
              <w:rPr>
                <w:rFonts w:hint="default" w:ascii="Arial" w:hAnsi="Arial" w:eastAsia="宋体" w:cs="Arial"/>
                <w:b w:val="0"/>
                <w:bCs/>
                <w:sz w:val="20"/>
                <w:szCs w:val="20"/>
                <w:lang w:eastAsia="zh-CN"/>
              </w:rPr>
              <w:t>he number of samples</w:t>
            </w:r>
            <w:r>
              <w:rPr>
                <w:rFonts w:hint="default" w:ascii="Arial" w:hAnsi="Arial" w:eastAsia="宋体" w:cs="Arial"/>
                <w:b w:val="0"/>
                <w:bCs/>
                <w:sz w:val="20"/>
                <w:szCs w:val="20"/>
                <w:lang w:val="en-US" w:eastAsia="zh-CN"/>
              </w:rPr>
              <w:t xml:space="preserve">, same or smaller than </w:t>
            </w:r>
            <w:r>
              <w:rPr>
                <w:rFonts w:hint="default" w:ascii="Arial" w:hAnsi="Arial" w:cs="Arial"/>
                <w:b w:val="0"/>
                <w:bCs/>
                <w:sz w:val="20"/>
                <w:szCs w:val="20"/>
              </w:rPr>
              <w:t>40K-1200K</w:t>
            </w:r>
            <w:r>
              <w:rPr>
                <w:rFonts w:hint="eastAsia" w:ascii="Arial" w:hAnsi="Arial" w:cs="Arial"/>
                <w:b w:val="0"/>
                <w:bCs/>
                <w:sz w:val="20"/>
                <w:szCs w:val="20"/>
                <w:lang w:val="en-US" w:eastAsia="zh-CN"/>
              </w:rPr>
              <w:t>.</w:t>
            </w:r>
          </w:p>
        </w:tc>
      </w:tr>
    </w:tbl>
    <w:p w14:paraId="09248ABE">
      <w:pPr>
        <w:spacing w:before="120" w:beforeLines="50" w:after="120" w:line="260" w:lineRule="exact"/>
        <w:rPr>
          <w:rFonts w:hint="default" w:ascii="Arial" w:hAnsi="Arial" w:cs="Arial"/>
          <w:sz w:val="21"/>
          <w:szCs w:val="21"/>
          <w:lang w:val="en-US" w:eastAsia="zh-CN"/>
        </w:rPr>
      </w:pPr>
      <w:r>
        <w:rPr>
          <w:rFonts w:hint="eastAsia" w:ascii="Arial" w:hAnsi="Arial" w:cs="Arial"/>
          <w:b/>
          <w:bCs/>
          <w:sz w:val="21"/>
          <w:szCs w:val="21"/>
          <w:lang w:val="en-US" w:eastAsia="zh-CN"/>
        </w:rPr>
        <w:t>Observation 4: For use cases with two-sided model (e.g. CSI compression), the data can be produced by UE and consumed by gNB for model training, inference and monitoring, the dataset and/or model parameters can be produced by gNB and consumed by UE-side OTT server for model training. The typical data content includes target CSI.</w:t>
      </w:r>
    </w:p>
    <w:p w14:paraId="6BDE2199">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The above use cases are studied and specified in RAN1/RAN2 for AI/ML PHY. RAN2 also studied AI Mob including RRM measurement prediction and measurement event prediction. For AI Mob, L1 beam measurement results, L3 beam level and L3 cell level measurement results, measurement event occurrence time information are collected for UE-sided and gNB-sided model training, inference and monitoring, where the producer, consumer and transfer path are similar to beam management.</w:t>
      </w:r>
    </w:p>
    <w:p w14:paraId="39E79547">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Based on the above analysis and observations, it can be observed that the AI/ML data collection termination points (i.e. data producer and consumer) can be various for different use cases and LCM procedures, e.g. UE&lt;-&gt;UE-side OTT server, UE&lt;-&gt;gNB, UE&lt;-&gt;OAM, UE&lt;-&gt;LMF, gNB&lt;-&gt;LMF, gNB&lt;-&gt;UE-side OTT server.</w:t>
      </w:r>
    </w:p>
    <w:p w14:paraId="31693020">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5: AI/ML data collection termination points (i.e. data producer and consumer) can be various for different use cases and LCM procedures, e.g. UE&lt;-&gt;UE-side OTT server, UE&lt;-&gt;gNB, UE&lt;-&gt;OAM, UE&lt;-&gt;LMF, gNB&lt;-&gt;LMF, gNB&lt;-&gt;UE-side OTT server. The typical data content includes L1/L3 measurement results, CSI information, positioning information, etc..</w:t>
      </w:r>
    </w:p>
    <w:p w14:paraId="348EA863">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 xml:space="preserve">For data terminated between UE and </w:t>
      </w:r>
      <w:r>
        <w:rPr>
          <w:rFonts w:hint="eastAsia" w:ascii="Arial" w:hAnsi="Arial" w:cs="Arial"/>
          <w:b w:val="0"/>
          <w:bCs w:val="0"/>
          <w:sz w:val="21"/>
          <w:szCs w:val="21"/>
          <w:lang w:val="en-US" w:eastAsia="zh-CN"/>
        </w:rPr>
        <w:t>UE-side OTT server, the potential solutions are still under discussion in 5G-A. Therefore, the discussion on UE side data collection in 6G can wait the progress in 5G-A. For other termination points, such as UE&lt;-&gt;LMF, gNB&lt;-&gt;LMF, gNB&lt;-&gt;UE-side OTT server, i</w:t>
      </w:r>
      <w:r>
        <w:rPr>
          <w:rFonts w:hint="eastAsia" w:ascii="Arial" w:hAnsi="Arial" w:cs="Arial"/>
          <w:szCs w:val="21"/>
        </w:rPr>
        <w:t>t can be foreseen that</w:t>
      </w:r>
      <w:r>
        <w:rPr>
          <w:rFonts w:hint="eastAsia" w:ascii="Arial" w:hAnsi="Arial" w:cs="Arial"/>
          <w:szCs w:val="21"/>
          <w:lang w:val="en-US" w:eastAsia="zh-CN"/>
        </w:rPr>
        <w:t xml:space="preserve"> </w:t>
      </w:r>
      <w:r>
        <w:rPr>
          <w:rFonts w:hint="eastAsia" w:ascii="Arial" w:hAnsi="Arial" w:cs="Arial"/>
          <w:b w:val="0"/>
          <w:bCs w:val="0"/>
          <w:sz w:val="21"/>
          <w:szCs w:val="21"/>
          <w:lang w:val="en-US" w:eastAsia="zh-CN"/>
        </w:rPr>
        <w:t>there are impacts on other WGs, e.g. RAN3, SA2. From the perspective of RAN2, we can first study the use cases and potential mechanisms for data terminated in RAN, i.e. study which use cases and data types will be procuded and terminated within RAN side, e.g. L1/L3 measurement results, CSI information.</w:t>
      </w:r>
    </w:p>
    <w:p w14:paraId="4B332FB6">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RAN2 study the use cases and potential mechanisms for data terminated in RAN.</w:t>
      </w:r>
    </w:p>
    <w:p w14:paraId="6D5A6748">
      <w:pPr>
        <w:spacing w:before="120" w:beforeLines="50" w:after="120" w:line="260" w:lineRule="exact"/>
        <w:rPr>
          <w:rFonts w:hint="eastAsia" w:ascii="Arial" w:hAnsi="Arial" w:cs="Arial"/>
          <w:b/>
          <w:bCs/>
          <w:sz w:val="21"/>
          <w:szCs w:val="21"/>
          <w:lang w:val="en-US" w:eastAsia="zh-CN"/>
        </w:rPr>
      </w:pPr>
    </w:p>
    <w:p w14:paraId="0FFB5248">
      <w:pPr>
        <w:numPr>
          <w:ilvl w:val="-1"/>
          <w:numId w:val="0"/>
        </w:numPr>
        <w:spacing w:before="0" w:beforeLines="-2147483648" w:after="120" w:afterLines="50" w:line="240" w:lineRule="auto"/>
        <w:ind w:left="0" w:firstLine="0"/>
        <w:outlineLvl w:val="2"/>
        <w:rPr>
          <w:rFonts w:hint="default" w:ascii="Arial" w:hAnsi="Arial" w:cs="Arial"/>
          <w:b/>
          <w:bCs/>
          <w:sz w:val="24"/>
          <w:szCs w:val="24"/>
          <w:lang w:val="en-US" w:eastAsia="zh-CN" w:bidi="ar"/>
        </w:rPr>
      </w:pPr>
      <w:r>
        <w:rPr>
          <w:rFonts w:hint="eastAsia" w:ascii="Arial" w:hAnsi="Arial" w:cs="Arial"/>
          <w:b/>
          <w:bCs/>
          <w:sz w:val="24"/>
          <w:szCs w:val="24"/>
          <w:lang w:val="en-US" w:eastAsia="zh-CN" w:bidi="ar"/>
        </w:rPr>
        <w:t>2.1.2 Potential solutions</w:t>
      </w:r>
    </w:p>
    <w:p w14:paraId="2ED53B00">
      <w:pPr>
        <w:numPr>
          <w:ilvl w:val="-1"/>
          <w:numId w:val="0"/>
        </w:numPr>
        <w:spacing w:before="0" w:beforeLines="-2147483648" w:after="120" w:afterLines="50" w:line="240" w:lineRule="auto"/>
        <w:ind w:left="0" w:firstLine="0"/>
        <w:outlineLvl w:val="9"/>
        <w:rPr>
          <w:rFonts w:hint="eastAsia" w:ascii="Arial" w:hAnsi="Arial" w:cs="Arial"/>
          <w:b w:val="0"/>
          <w:bCs w:val="0"/>
          <w:sz w:val="21"/>
          <w:szCs w:val="21"/>
          <w:lang w:val="en-US" w:eastAsia="zh-CN"/>
        </w:rPr>
      </w:pPr>
      <w:r>
        <w:rPr>
          <w:rFonts w:hint="eastAsia" w:ascii="Arial" w:hAnsi="Arial" w:cs="Arial"/>
          <w:szCs w:val="24"/>
          <w:lang w:val="en-US" w:eastAsia="zh-CN"/>
        </w:rPr>
        <w:t xml:space="preserve">Based on the analysis in section 2.1.1, it can be seen that the data volume for AI/ML model training is very large, e.g. </w:t>
      </w:r>
      <w:r>
        <w:rPr>
          <w:rFonts w:hint="eastAsia" w:ascii="Arial" w:hAnsi="Arial" w:cs="Arial"/>
          <w:i w:val="0"/>
          <w:iCs w:val="0"/>
          <w:sz w:val="21"/>
          <w:szCs w:val="21"/>
          <w:lang w:val="en-US" w:eastAsia="zh-CN"/>
        </w:rPr>
        <w:t>up to hundreds of MB</w:t>
      </w:r>
      <w:r>
        <w:rPr>
          <w:rFonts w:hint="eastAsia" w:ascii="Arial" w:hAnsi="Arial" w:cs="Arial"/>
          <w:szCs w:val="24"/>
          <w:lang w:val="en-US" w:eastAsia="zh-CN"/>
        </w:rPr>
        <w:t xml:space="preserve">. On one hand, the data volume is much larger than the legacy RRC signaling size </w:t>
      </w:r>
      <w:r>
        <w:rPr>
          <w:rFonts w:hint="default" w:ascii="Arial" w:hAnsi="Arial" w:cs="Arial"/>
          <w:szCs w:val="24"/>
        </w:rPr>
        <w:t>(the maximum size of UL/DL RRC signaling is 144kbytes/45kbytes)</w:t>
      </w:r>
      <w:r>
        <w:rPr>
          <w:rFonts w:hint="eastAsia" w:ascii="Arial" w:hAnsi="Arial" w:cs="Arial"/>
          <w:szCs w:val="24"/>
          <w:lang w:val="en-US" w:eastAsia="zh-CN"/>
        </w:rPr>
        <w:t>. On the other hand, for some data terminated in gNB, t</w:t>
      </w:r>
      <w:r>
        <w:rPr>
          <w:rFonts w:hint="default" w:ascii="Arial" w:hAnsi="Arial" w:cs="Arial"/>
          <w:szCs w:val="24"/>
        </w:rPr>
        <w:t xml:space="preserve">he existing DRB </w:t>
      </w:r>
      <w:r>
        <w:rPr>
          <w:rFonts w:hint="eastAsia" w:ascii="Arial" w:hAnsi="Arial" w:cs="Arial"/>
          <w:szCs w:val="24"/>
          <w:lang w:val="en-US" w:eastAsia="zh-CN"/>
        </w:rPr>
        <w:t xml:space="preserve">is not applicable since it </w:t>
      </w:r>
      <w:r>
        <w:rPr>
          <w:rFonts w:hint="default" w:ascii="Arial" w:hAnsi="Arial" w:cs="Arial"/>
          <w:szCs w:val="24"/>
        </w:rPr>
        <w:t xml:space="preserve">cannot be setup between gNB and UE directly, which is always associated with PDU session terminated in UPF. </w:t>
      </w:r>
      <w:r>
        <w:rPr>
          <w:rFonts w:hint="eastAsia" w:ascii="Arial" w:hAnsi="Arial" w:cs="Arial"/>
          <w:szCs w:val="24"/>
          <w:lang w:val="en-US" w:eastAsia="zh-CN"/>
        </w:rPr>
        <w:t>So</w:t>
      </w:r>
      <w:r>
        <w:rPr>
          <w:rFonts w:hint="default" w:ascii="Arial" w:hAnsi="Arial" w:cs="Arial"/>
          <w:szCs w:val="24"/>
        </w:rPr>
        <w:t>, the large volumes of data collected by the UE cannot be transmitted to the gNB directly via DRB.</w:t>
      </w:r>
    </w:p>
    <w:p w14:paraId="568D1326">
      <w:pPr>
        <w:spacing w:before="120" w:beforeLines="50" w:after="120" w:line="260" w:lineRule="exact"/>
        <w:rPr>
          <w:rFonts w:hint="eastAsia" w:ascii="Arial" w:hAnsi="Arial" w:cs="Arial"/>
          <w:sz w:val="21"/>
          <w:szCs w:val="21"/>
          <w:lang w:val="en-US" w:eastAsia="zh-CN"/>
        </w:rPr>
      </w:pPr>
      <w:r>
        <w:rPr>
          <w:rFonts w:hint="eastAsia" w:ascii="Arial" w:hAnsi="Arial" w:cs="Arial"/>
          <w:b w:val="0"/>
          <w:bCs w:val="0"/>
          <w:sz w:val="21"/>
          <w:szCs w:val="21"/>
          <w:lang w:val="en-US" w:eastAsia="zh-CN"/>
        </w:rPr>
        <w:t>In 6G, we think large volume of AI data transmission and model transfer/delivery should be supported in Day1. T</w:t>
      </w:r>
      <w:r>
        <w:rPr>
          <w:rFonts w:hint="eastAsia" w:ascii="Arial" w:hAnsi="Arial" w:cs="Arial"/>
          <w:sz w:val="21"/>
          <w:szCs w:val="21"/>
          <w:lang w:val="en-US" w:eastAsia="zh-CN"/>
        </w:rPr>
        <w:t>he following options can be taken as a starting point and further studied:</w:t>
      </w:r>
    </w:p>
    <w:p w14:paraId="7C429AED">
      <w:pPr>
        <w:spacing w:before="120" w:beforeLines="50" w:after="120" w:line="260" w:lineRule="exact"/>
        <w:ind w:leftChars="100"/>
        <w:rPr>
          <w:rFonts w:hint="default" w:ascii="Arial" w:hAnsi="Arial" w:cs="Arial"/>
          <w:sz w:val="21"/>
          <w:szCs w:val="21"/>
          <w:lang w:val="en-US" w:eastAsia="zh-CN"/>
        </w:rPr>
      </w:pPr>
      <w:r>
        <w:rPr>
          <w:rFonts w:hint="eastAsia" w:ascii="Arial" w:hAnsi="Arial" w:cs="Arial"/>
          <w:sz w:val="21"/>
          <w:szCs w:val="21"/>
          <w:lang w:val="en-US" w:eastAsia="zh-CN"/>
        </w:rPr>
        <w:t>- Option 1: Extend RRC message size, including UL and DL</w:t>
      </w:r>
    </w:p>
    <w:p w14:paraId="6F112053">
      <w:pPr>
        <w:spacing w:before="120" w:beforeLines="50" w:after="120" w:line="260" w:lineRule="exact"/>
        <w:ind w:leftChars="100"/>
        <w:rPr>
          <w:rFonts w:hint="default" w:ascii="Arial" w:hAnsi="Arial" w:cs="Arial"/>
          <w:b w:val="0"/>
          <w:bCs w:val="0"/>
          <w:sz w:val="21"/>
          <w:szCs w:val="21"/>
          <w:lang w:val="en-US" w:eastAsia="zh-CN"/>
        </w:rPr>
      </w:pPr>
      <w:r>
        <w:rPr>
          <w:rFonts w:hint="eastAsia" w:ascii="Arial" w:hAnsi="Arial" w:cs="Arial"/>
          <w:sz w:val="21"/>
          <w:szCs w:val="21"/>
          <w:lang w:val="en-US" w:eastAsia="zh-CN"/>
        </w:rPr>
        <w:t>- Option 2: Introduce a new radio bearer which is terminated between UE and base station for data/model transmission</w:t>
      </w:r>
    </w:p>
    <w:p w14:paraId="46130E24">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For option1, it can be considered to extend the size of single RRC message, or extend the number of RRC segmentation. Furthermore, the priority of RRC message for data transfer should be discussed. In 5G-A, a new SRB (i.e. SRB6) is introduced for NW-side data collection which is lower than SRB2 since the latency requirement on data transfer for model training is relaxed. For 6G, the similar principle and lower priority SRB can be reused if option 1 is adopted. Another issue is that the SRB t</w:t>
      </w:r>
      <w:r>
        <w:rPr>
          <w:rFonts w:hint="eastAsia" w:ascii="Arial" w:hAnsi="Arial" w:cs="Arial"/>
          <w:szCs w:val="21"/>
        </w:rPr>
        <w:t xml:space="preserve">ransmission </w:t>
      </w:r>
      <w:r>
        <w:rPr>
          <w:rFonts w:hint="eastAsia" w:ascii="Arial" w:hAnsi="Arial" w:cs="Arial"/>
          <w:szCs w:val="21"/>
          <w:lang w:eastAsia="zh-CN"/>
        </w:rPr>
        <w:t>w</w:t>
      </w:r>
      <w:r>
        <w:rPr>
          <w:rFonts w:hint="eastAsia" w:ascii="Arial" w:hAnsi="Arial" w:cs="Arial"/>
          <w:szCs w:val="21"/>
          <w:lang w:val="en-US" w:eastAsia="zh-CN"/>
        </w:rPr>
        <w:t>ill be</w:t>
      </w:r>
      <w:r>
        <w:rPr>
          <w:rFonts w:hint="eastAsia" w:ascii="Arial" w:hAnsi="Arial" w:cs="Arial"/>
          <w:szCs w:val="21"/>
        </w:rPr>
        <w:t xml:space="preserve"> restarted upon mobility</w:t>
      </w:r>
      <w:r>
        <w:rPr>
          <w:rFonts w:hint="eastAsia" w:ascii="Arial" w:hAnsi="Arial" w:cs="Arial"/>
          <w:szCs w:val="21"/>
          <w:lang w:val="en-US" w:eastAsia="zh-CN"/>
        </w:rPr>
        <w:t xml:space="preserve"> in the existing framework, thus how to support service continuity for SRB segmentation in 6G should be studied.</w:t>
      </w:r>
    </w:p>
    <w:p w14:paraId="27DF1FD0">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option 2, the new radio bearer </w:t>
      </w:r>
      <w:r>
        <w:rPr>
          <w:rFonts w:hint="eastAsia" w:ascii="Arial" w:hAnsi="Arial" w:cs="Arial"/>
          <w:sz w:val="21"/>
          <w:szCs w:val="21"/>
          <w:lang w:val="en-US" w:eastAsia="zh-CN"/>
        </w:rPr>
        <w:t>(e.g. AI bearer)</w:t>
      </w:r>
      <w:r>
        <w:rPr>
          <w:rFonts w:hint="eastAsia" w:ascii="Arial" w:hAnsi="Arial" w:cs="Arial"/>
          <w:b w:val="0"/>
          <w:bCs w:val="0"/>
          <w:sz w:val="21"/>
          <w:szCs w:val="21"/>
          <w:lang w:val="en-US" w:eastAsia="zh-CN"/>
        </w:rPr>
        <w:t xml:space="preserve"> is dedicated for AI data or model transmission, which is separate from legacy DRB and SRB. Similarly, the priority of new radio bearer and service continuity upon mobility should be also discussed and studied.</w:t>
      </w:r>
    </w:p>
    <w:p w14:paraId="620EA2C1">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The potential solutions and details can be further investigated.</w:t>
      </w:r>
    </w:p>
    <w:p w14:paraId="06EA9C2F">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It is proposed to study the potential solutions for AI/ML data and model transfer.</w:t>
      </w:r>
    </w:p>
    <w:p w14:paraId="20017691">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1: Extend RRC message size</w:t>
      </w:r>
      <w:r>
        <w:rPr>
          <w:rFonts w:hint="eastAsia" w:ascii="Arial" w:hAnsi="Arial" w:cs="Arial"/>
          <w:b/>
          <w:bCs/>
          <w:szCs w:val="21"/>
        </w:rPr>
        <w:t>, including UL and DL</w:t>
      </w:r>
    </w:p>
    <w:p w14:paraId="4F59FCA2">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which is terminated between UE and base station</w:t>
      </w:r>
    </w:p>
    <w:p w14:paraId="6E584746">
      <w:pPr>
        <w:spacing w:before="120" w:beforeLines="50" w:after="120" w:line="260" w:lineRule="exact"/>
        <w:rPr>
          <w:rFonts w:hint="default" w:ascii="Arial" w:hAnsi="Arial" w:cs="Arial"/>
          <w:b w:val="0"/>
          <w:bCs w:val="0"/>
          <w:i w:val="0"/>
          <w:iCs w:val="0"/>
          <w:sz w:val="21"/>
          <w:szCs w:val="21"/>
          <w:highlight w:val="yellow"/>
          <w:lang w:val="en-US" w:eastAsia="zh-CN"/>
        </w:rPr>
      </w:pPr>
      <w:r>
        <w:rPr>
          <w:rFonts w:hint="eastAsia" w:ascii="Arial" w:hAnsi="Arial" w:cs="Arial"/>
          <w:b w:val="0"/>
          <w:bCs w:val="0"/>
          <w:i w:val="0"/>
          <w:iCs w:val="0"/>
          <w:sz w:val="21"/>
          <w:szCs w:val="21"/>
          <w:highlight w:val="none"/>
          <w:lang w:val="en-US" w:eastAsia="zh-CN"/>
        </w:rPr>
        <w:t>In addition to AI/ML data collection and transfer, data storage is another critical issue which should be discussed and studied.</w:t>
      </w:r>
    </w:p>
    <w:p w14:paraId="349B2699">
      <w:pPr>
        <w:spacing w:before="120" w:beforeLines="50" w:after="120" w:line="260" w:lineRule="exact"/>
        <w:rPr>
          <w:rFonts w:hint="eastAsia" w:ascii="Arial" w:hAnsi="Arial" w:cs="Arial"/>
          <w:szCs w:val="21"/>
          <w:lang w:val="en-US" w:eastAsia="zh-CN" w:bidi="ar"/>
        </w:rPr>
      </w:pPr>
      <w:r>
        <w:rPr>
          <w:rFonts w:hint="eastAsia" w:ascii="Arial" w:hAnsi="Arial" w:cs="Arial"/>
          <w:b w:val="0"/>
          <w:bCs w:val="0"/>
          <w:i w:val="0"/>
          <w:iCs w:val="0"/>
          <w:sz w:val="21"/>
          <w:szCs w:val="21"/>
          <w:lang w:val="en-US" w:eastAsia="zh-CN"/>
        </w:rPr>
        <w:t>Based on the above analysis, L1/L3 measurement results, CSI information, positioning measurement results, and UE location information will be collected for model training, inference or monitoring for different use cases, among which L1 measurement results and CSI information are purely generated and used within RAN side. And t</w:t>
      </w:r>
      <w:r>
        <w:rPr>
          <w:rFonts w:hint="eastAsia" w:ascii="Arial" w:hAnsi="Arial" w:cs="Arial"/>
          <w:b w:val="0"/>
          <w:bCs w:val="0"/>
          <w:sz w:val="21"/>
          <w:szCs w:val="21"/>
          <w:lang w:val="en-US" w:eastAsia="zh-CN"/>
        </w:rPr>
        <w:t xml:space="preserve">aking beam management as example, the data for UE-sided model and gNB-sided model training is the same (i.e. </w:t>
      </w:r>
      <w:r>
        <w:rPr>
          <w:rFonts w:hint="eastAsia" w:ascii="Arial" w:hAnsi="Arial" w:cs="Arial"/>
          <w:szCs w:val="21"/>
          <w:lang w:bidi="ar"/>
        </w:rPr>
        <w:t>L1-RSRPs and/or beam-IDs</w:t>
      </w:r>
      <w:r>
        <w:rPr>
          <w:rFonts w:hint="eastAsia" w:ascii="Arial" w:hAnsi="Arial" w:cs="Arial"/>
          <w:b w:val="0"/>
          <w:bCs w:val="0"/>
          <w:sz w:val="21"/>
          <w:szCs w:val="21"/>
          <w:lang w:val="en-US" w:eastAsia="zh-CN"/>
        </w:rPr>
        <w:t xml:space="preserve">), which is collected by the UE and consumed by different entities (i.e. RAN and OTT server). If the data collection is triggered for UE-sided model training and gNB-sided model training separately, </w:t>
      </w:r>
      <w:r>
        <w:rPr>
          <w:rFonts w:hint="eastAsia" w:ascii="Arial" w:hAnsi="Arial" w:cs="Arial"/>
          <w:szCs w:val="21"/>
          <w:highlight w:val="none"/>
          <w:lang w:val="en-US" w:eastAsia="zh-CN" w:bidi="ar"/>
        </w:rPr>
        <w:t>the duplicated data collection within UE and duplicated reporting via air interface would occur.</w:t>
      </w:r>
    </w:p>
    <w:p w14:paraId="79FFD372">
      <w:pPr>
        <w:spacing w:before="120" w:beforeLines="50" w:after="120" w:line="260" w:lineRule="exact"/>
        <w:rPr>
          <w:rFonts w:hint="default" w:ascii="Arial" w:hAnsi="Arial" w:cs="Arial"/>
          <w:b/>
          <w:bCs/>
          <w:szCs w:val="21"/>
          <w:lang w:val="en-US" w:eastAsia="zh-CN" w:bidi="ar"/>
        </w:rPr>
      </w:pPr>
      <w:r>
        <w:rPr>
          <w:rFonts w:hint="eastAsia" w:ascii="Arial" w:hAnsi="Arial" w:cs="Arial"/>
          <w:b/>
          <w:bCs/>
          <w:szCs w:val="21"/>
          <w:lang w:val="en-US" w:eastAsia="zh-CN" w:bidi="ar"/>
        </w:rPr>
        <w:t xml:space="preserve">Observation 6: For the given use case, the same data produced by the UE can be used for both UE-sided model training and NW-sided model training, e.g. </w:t>
      </w:r>
      <w:r>
        <w:rPr>
          <w:rFonts w:hint="eastAsia" w:ascii="Arial" w:hAnsi="Arial" w:cs="Arial"/>
          <w:b/>
          <w:bCs/>
          <w:szCs w:val="21"/>
          <w:lang w:bidi="ar"/>
        </w:rPr>
        <w:t>L1-RSRPs and/or beam-IDs</w:t>
      </w:r>
      <w:r>
        <w:rPr>
          <w:rFonts w:hint="eastAsia" w:ascii="Arial" w:hAnsi="Arial" w:cs="Arial"/>
          <w:b/>
          <w:bCs/>
          <w:szCs w:val="21"/>
          <w:lang w:val="en-US" w:eastAsia="zh-CN" w:bidi="ar"/>
        </w:rPr>
        <w:t xml:space="preserve"> for beam management, consumed by RAN and OTT server respectively.</w:t>
      </w:r>
    </w:p>
    <w:p w14:paraId="5C47BAA1">
      <w:pPr>
        <w:spacing w:before="120" w:beforeLines="50" w:after="120" w:line="260" w:lineRule="exact"/>
        <w:rPr>
          <w:rFonts w:hint="eastAsia" w:ascii="Arial" w:hAnsi="Arial" w:cs="Arial"/>
          <w:sz w:val="21"/>
          <w:szCs w:val="21"/>
          <w:lang w:val="en-US" w:eastAsia="zh-CN"/>
        </w:rPr>
      </w:pPr>
      <w:r>
        <w:rPr>
          <w:rFonts w:hint="eastAsia" w:ascii="Arial" w:hAnsi="Arial" w:cs="Arial"/>
          <w:sz w:val="21"/>
          <w:szCs w:val="21"/>
          <w:lang w:val="en-US" w:eastAsia="zh-CN"/>
        </w:rPr>
        <w:t xml:space="preserve">For the data consumed by different entities, a centralized storage can be considered since it is beneficial for efficient data management and sharing. In our understanding, the uses cases such as beam management and CSI compression are RAN-centric, and the data (e.g. the measurement results via air interface) is collected within RAN side. Therefore, it is reasonable to manage and store the data in RAN domain. That means it is unnecessary to transfer and store the data generated and used within RAN to other domain (e.g. CN). </w:t>
      </w:r>
    </w:p>
    <w:p w14:paraId="7297F2D5">
      <w:pPr>
        <w:spacing w:before="120" w:beforeLines="50" w:after="120" w:line="260" w:lineRule="exact"/>
        <w:rPr>
          <w:rFonts w:hint="default" w:ascii="Arial" w:hAnsi="Arial" w:cs="Arial"/>
          <w:sz w:val="21"/>
          <w:szCs w:val="21"/>
          <w:lang w:val="en-US" w:eastAsia="zh-CN"/>
        </w:rPr>
      </w:pPr>
      <w:r>
        <w:rPr>
          <w:rFonts w:hint="eastAsia" w:ascii="Arial" w:hAnsi="Arial" w:cs="Arial"/>
          <w:sz w:val="21"/>
          <w:szCs w:val="21"/>
          <w:lang w:val="en-US" w:eastAsia="zh-CN"/>
        </w:rPr>
        <w:t>That is, 6G RAN and CN can maintain their own data repositories, wherein the data collected and used within RAN side can be managed and stored in a RAN data repository. Of course, 6G RAN can also share its data to other data consumers if needed, such as CN or OAM. For example, we observe that L3 measurements and cell information can be used for both RAN and CN for mobility optimization. Of course, the data stored in RAN can be also shared to the 3</w:t>
      </w:r>
      <w:r>
        <w:rPr>
          <w:rFonts w:hint="eastAsia" w:ascii="Arial" w:hAnsi="Arial" w:cs="Arial"/>
          <w:sz w:val="21"/>
          <w:szCs w:val="21"/>
          <w:vertAlign w:val="superscript"/>
          <w:lang w:val="en-US" w:eastAsia="zh-CN"/>
        </w:rPr>
        <w:t>rd</w:t>
      </w:r>
      <w:r>
        <w:rPr>
          <w:rFonts w:hint="eastAsia" w:ascii="Arial" w:hAnsi="Arial" w:cs="Arial"/>
          <w:sz w:val="21"/>
          <w:szCs w:val="21"/>
          <w:lang w:val="en-US" w:eastAsia="zh-CN"/>
        </w:rPr>
        <w:t xml:space="preserve"> entity, e.g. UE-side OTT server for UE-sided model training as we mentioned above, and the details for data sharing can be further discussed and studied, such as via CN or OAM to the 3</w:t>
      </w:r>
      <w:r>
        <w:rPr>
          <w:rFonts w:hint="eastAsia" w:ascii="Arial" w:hAnsi="Arial" w:cs="Arial"/>
          <w:sz w:val="21"/>
          <w:szCs w:val="21"/>
          <w:vertAlign w:val="superscript"/>
          <w:lang w:val="en-US" w:eastAsia="zh-CN"/>
        </w:rPr>
        <w:t xml:space="preserve">rd </w:t>
      </w:r>
      <w:r>
        <w:rPr>
          <w:rFonts w:hint="eastAsia" w:ascii="Arial" w:hAnsi="Arial" w:cs="Arial"/>
          <w:sz w:val="21"/>
          <w:szCs w:val="21"/>
          <w:vertAlign w:val="baseline"/>
          <w:lang w:val="en-US" w:eastAsia="zh-CN"/>
        </w:rPr>
        <w:t>party.</w:t>
      </w:r>
    </w:p>
    <w:p w14:paraId="203127A7">
      <w:pPr>
        <w:spacing w:before="120" w:beforeLines="50" w:after="120" w:line="260" w:lineRule="exact"/>
        <w:rPr>
          <w:rFonts w:hint="eastAsia" w:ascii="Arial" w:hAnsi="Arial" w:cs="Arial"/>
          <w:sz w:val="21"/>
          <w:szCs w:val="21"/>
          <w:lang w:val="en-US" w:eastAsia="zh-CN"/>
        </w:rPr>
      </w:pPr>
      <w:r>
        <w:rPr>
          <w:rFonts w:hint="eastAsia" w:ascii="Arial" w:hAnsi="Arial" w:cs="Arial"/>
          <w:b w:val="0"/>
          <w:bCs w:val="0"/>
          <w:sz w:val="21"/>
          <w:szCs w:val="21"/>
          <w:lang w:val="en-US" w:eastAsia="zh-CN"/>
        </w:rPr>
        <w:t xml:space="preserve">Furthermore, the </w:t>
      </w:r>
      <w:r>
        <w:rPr>
          <w:rFonts w:hint="eastAsia" w:ascii="Arial" w:hAnsi="Arial" w:cs="Arial"/>
          <w:sz w:val="21"/>
          <w:szCs w:val="21"/>
          <w:lang w:val="en-US" w:eastAsia="zh-CN"/>
        </w:rPr>
        <w:t>RAN data repository can also coordinate data collection request from multiple data consumers to minimize the duplicated data collection and reporting.</w:t>
      </w:r>
      <w:r>
        <w:rPr>
          <w:rFonts w:hint="eastAsia" w:ascii="Arial" w:hAnsi="Arial" w:cs="Arial"/>
          <w:b w:val="0"/>
          <w:bCs w:val="0"/>
          <w:sz w:val="21"/>
          <w:szCs w:val="21"/>
          <w:lang w:val="en-US" w:eastAsia="zh-CN"/>
        </w:rPr>
        <w:t xml:space="preserve"> From the perspective of data sharing, we believe that the </w:t>
      </w:r>
      <w:r>
        <w:rPr>
          <w:rFonts w:hint="eastAsia" w:ascii="Arial" w:hAnsi="Arial" w:cs="Arial"/>
          <w:sz w:val="21"/>
          <w:szCs w:val="21"/>
          <w:lang w:val="en-US" w:eastAsia="zh-CN"/>
        </w:rPr>
        <w:t>RAN data repository owned by MNO is reasonable, since it is secured and can support interoperability across different vendors.</w:t>
      </w:r>
    </w:p>
    <w:p w14:paraId="0AC1D4F9">
      <w:pPr>
        <w:spacing w:before="120" w:beforeLines="50" w:after="120" w:line="240" w:lineRule="auto"/>
        <w:jc w:val="center"/>
      </w:pPr>
      <w:r>
        <w:drawing>
          <wp:inline distT="0" distB="0" distL="114300" distR="114300">
            <wp:extent cx="4461510" cy="3549650"/>
            <wp:effectExtent l="0" t="0" r="5715"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4461510" cy="3549650"/>
                    </a:xfrm>
                    <a:prstGeom prst="rect">
                      <a:avLst/>
                    </a:prstGeom>
                    <a:noFill/>
                    <a:ln>
                      <a:noFill/>
                    </a:ln>
                  </pic:spPr>
                </pic:pic>
              </a:graphicData>
            </a:graphic>
          </wp:inline>
        </w:drawing>
      </w:r>
    </w:p>
    <w:p w14:paraId="1B0B53D2">
      <w:pPr>
        <w:spacing w:before="120" w:beforeLines="50" w:after="120" w:line="240" w:lineRule="auto"/>
        <w:jc w:val="center"/>
        <w:rPr>
          <w:rFonts w:hint="default" w:ascii="Arial" w:hAnsi="Arial" w:cs="Arial"/>
          <w:b/>
          <w:bCs/>
          <w:sz w:val="21"/>
          <w:szCs w:val="22"/>
          <w:lang w:val="en-US" w:eastAsia="zh-CN"/>
        </w:rPr>
      </w:pPr>
      <w:r>
        <w:rPr>
          <w:rFonts w:hint="default" w:ascii="Arial" w:hAnsi="Arial" w:cs="Arial"/>
          <w:b/>
          <w:bCs/>
          <w:sz w:val="21"/>
          <w:szCs w:val="22"/>
          <w:lang w:val="en-US" w:eastAsia="zh-CN"/>
        </w:rPr>
        <w:t xml:space="preserve">Figure </w:t>
      </w:r>
      <w:r>
        <w:rPr>
          <w:rFonts w:hint="eastAsia" w:ascii="Arial" w:hAnsi="Arial" w:cs="Arial"/>
          <w:b/>
          <w:bCs/>
          <w:sz w:val="21"/>
          <w:szCs w:val="22"/>
          <w:lang w:val="en-US" w:eastAsia="zh-CN"/>
        </w:rPr>
        <w:t>1</w:t>
      </w:r>
      <w:r>
        <w:rPr>
          <w:rFonts w:hint="default" w:ascii="Arial" w:hAnsi="Arial" w:cs="Arial"/>
          <w:b/>
          <w:bCs/>
          <w:sz w:val="21"/>
          <w:szCs w:val="22"/>
          <w:lang w:val="en-US" w:eastAsia="zh-CN"/>
        </w:rPr>
        <w:t>. An example for RAN data repository</w:t>
      </w:r>
    </w:p>
    <w:p w14:paraId="3A844A84">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3: 6G RAN should maintain its own data repository, where data collected and used within RAN side can be stored and managed. Furthermore, the data can be shared to different data consumers (e.g. OAM, CN, UE-side OTT server) if needed.</w:t>
      </w:r>
    </w:p>
    <w:p w14:paraId="216D877B">
      <w:pPr>
        <w:numPr>
          <w:ilvl w:val="0"/>
          <w:numId w:val="0"/>
        </w:numPr>
        <w:spacing w:before="120" w:beforeLines="50" w:after="120" w:line="260" w:lineRule="exact"/>
        <w:rPr>
          <w:rFonts w:hint="default" w:ascii="Arial" w:hAnsi="Arial" w:cs="Arial"/>
          <w:b/>
          <w:bCs/>
          <w:sz w:val="21"/>
          <w:szCs w:val="21"/>
          <w:lang w:val="en-US" w:eastAsia="zh-CN"/>
        </w:rPr>
      </w:pPr>
    </w:p>
    <w:p w14:paraId="0572B7C4">
      <w:pPr>
        <w:numPr>
          <w:ilvl w:val="0"/>
          <w:numId w:val="0"/>
        </w:numPr>
        <w:spacing w:before="120" w:beforeLines="50" w:after="120" w:line="240" w:lineRule="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Non-AI services</w:t>
      </w:r>
    </w:p>
    <w:p w14:paraId="1A1A37D3">
      <w:pPr>
        <w:numPr>
          <w:ilvl w:val="0"/>
          <w:numId w:val="10"/>
        </w:numPr>
        <w:spacing w:after="120" w:afterLines="50"/>
        <w:ind w:left="420" w:leftChars="0" w:hanging="420" w:firstLineChars="0"/>
        <w:rPr>
          <w:rFonts w:hint="eastAsia" w:ascii="Arial" w:hAnsi="Arial" w:cs="Arial"/>
          <w:b/>
          <w:bCs/>
          <w:i/>
          <w:iCs/>
          <w:szCs w:val="21"/>
          <w:lang w:val="en-US" w:eastAsia="zh-CN" w:bidi="ar"/>
        </w:rPr>
      </w:pPr>
      <w:r>
        <w:rPr>
          <w:rFonts w:hint="eastAsia" w:ascii="Arial" w:hAnsi="Arial" w:cs="Arial"/>
          <w:b/>
          <w:bCs/>
          <w:i/>
          <w:iCs/>
          <w:szCs w:val="21"/>
          <w:lang w:val="en-US" w:eastAsia="zh-CN" w:bidi="ar"/>
        </w:rPr>
        <w:t>SON/MDT</w:t>
      </w:r>
    </w:p>
    <w:p w14:paraId="0A8DE19C">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5G NR SON/MDT has been evolved from R16 to R20 to support network deployment and performance optimization for better user experience. Several use cases have been enhanced, including inter-RAT handover, RACH enhancement, SHR, NPN, NR-U, LTM, CHO with candidate SCG, MHI, SDT, etc. SOn/MDT supports the collection of UE-specific measurements using control plane architecture, as well as the configuration and collection are controlled by OAM. </w:t>
      </w:r>
    </w:p>
    <w:p w14:paraId="0EE50E51">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To support MDT mechanism, two modes have been discussed, i.e. logged MDT and immediate MDT. For logged MDT, measurements are logged by UE in IDLE and INACTIVE state, and UE reports the logging information when it enters CONNECTED state. For immediate MDT, the measurements are performed by the UE in CONNECTED state, and reported to gNB when the event is satisfied.</w:t>
      </w:r>
    </w:p>
    <w:p w14:paraId="7D3C8AFD">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For SON/MDT, the typical data content, data size, latency requirement, and data producer, consumer, transfer path are listed in the following table.</w:t>
      </w:r>
    </w:p>
    <w:p w14:paraId="0A2EE640">
      <w:pPr>
        <w:spacing w:before="120" w:beforeLines="50" w:after="120" w:line="260" w:lineRule="exact"/>
        <w:jc w:val="center"/>
        <w:rPr>
          <w:rFonts w:hint="default" w:ascii="Arial" w:hAnsi="Arial" w:cs="Arial"/>
          <w:b w:val="0"/>
          <w:bCs w:val="0"/>
          <w:sz w:val="21"/>
          <w:szCs w:val="21"/>
          <w:lang w:val="en-US" w:eastAsia="zh-CN"/>
        </w:rPr>
      </w:pPr>
      <w:r>
        <w:rPr>
          <w:rFonts w:hint="eastAsia" w:ascii="Arial" w:hAnsi="Arial" w:cs="Arial"/>
          <w:b/>
          <w:bCs/>
          <w:sz w:val="21"/>
          <w:szCs w:val="21"/>
          <w:lang w:val="en-US" w:eastAsia="zh-CN"/>
        </w:rPr>
        <w:t>Table 6: Typical data type for SON/MDT</w:t>
      </w:r>
    </w:p>
    <w:tbl>
      <w:tblPr>
        <w:tblStyle w:val="17"/>
        <w:tblW w:w="9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850"/>
        <w:gridCol w:w="1420"/>
        <w:gridCol w:w="1839"/>
        <w:gridCol w:w="1118"/>
        <w:gridCol w:w="1269"/>
        <w:gridCol w:w="1192"/>
      </w:tblGrid>
      <w:tr w14:paraId="28081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Pr>
          <w:p w14:paraId="5DAE3B4D">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Use case</w:t>
            </w:r>
          </w:p>
        </w:tc>
        <w:tc>
          <w:tcPr>
            <w:tcW w:w="1850" w:type="dxa"/>
          </w:tcPr>
          <w:p w14:paraId="5DCEAC21">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420" w:type="dxa"/>
          </w:tcPr>
          <w:p w14:paraId="5B818E5A">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w:t>
            </w:r>
          </w:p>
        </w:tc>
        <w:tc>
          <w:tcPr>
            <w:tcW w:w="1839" w:type="dxa"/>
            <w:shd w:val="clear" w:color="auto" w:fill="auto"/>
            <w:vAlign w:val="top"/>
          </w:tcPr>
          <w:p w14:paraId="573B503D">
            <w:pPr>
              <w:spacing w:before="120" w:beforeLines="50" w:after="120" w:line="260" w:lineRule="exact"/>
              <w:jc w:val="center"/>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 or reporting period</w:t>
            </w:r>
          </w:p>
        </w:tc>
        <w:tc>
          <w:tcPr>
            <w:tcW w:w="1118" w:type="dxa"/>
          </w:tcPr>
          <w:p w14:paraId="672B767A">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69" w:type="dxa"/>
          </w:tcPr>
          <w:p w14:paraId="7DD6E3B1">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1192" w:type="dxa"/>
          </w:tcPr>
          <w:p w14:paraId="7732BA5E">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Transfer path</w:t>
            </w:r>
          </w:p>
        </w:tc>
      </w:tr>
      <w:tr w14:paraId="6FCC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1A7F7BB4">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Logged MDT</w:t>
            </w:r>
          </w:p>
        </w:tc>
        <w:tc>
          <w:tcPr>
            <w:tcW w:w="1850" w:type="dxa"/>
            <w:vAlign w:val="center"/>
          </w:tcPr>
          <w:p w14:paraId="556680FC">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 location, L1/L3 measurement report, time stamp, etc</w:t>
            </w:r>
          </w:p>
        </w:tc>
        <w:tc>
          <w:tcPr>
            <w:tcW w:w="1420" w:type="dxa"/>
            <w:vAlign w:val="center"/>
          </w:tcPr>
          <w:p w14:paraId="445DA4D3">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Maximum size per report: 9KB</w:t>
            </w:r>
          </w:p>
          <w:p w14:paraId="71699D49">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Minimum buffer: 64 KB</w:t>
            </w:r>
          </w:p>
        </w:tc>
        <w:tc>
          <w:tcPr>
            <w:tcW w:w="1839" w:type="dxa"/>
            <w:shd w:val="clear" w:color="auto" w:fill="auto"/>
            <w:vAlign w:val="center"/>
          </w:tcPr>
          <w:p w14:paraId="1C8B4AC4">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Relaxed</w:t>
            </w:r>
          </w:p>
          <w:p w14:paraId="3FD06DBF">
            <w:pPr>
              <w:spacing w:before="120" w:beforeLines="50" w:after="120" w:line="260" w:lineRule="exact"/>
              <w:jc w:val="left"/>
              <w:rPr>
                <w:rFonts w:hint="eastAsia" w:ascii="Arial" w:hAnsi="Arial" w:cs="Arial" w:eastAsiaTheme="minorEastAsia"/>
                <w:b w:val="0"/>
                <w:bCs w:val="0"/>
                <w:kern w:val="2"/>
                <w:sz w:val="20"/>
                <w:szCs w:val="20"/>
                <w:vertAlign w:val="baseline"/>
                <w:lang w:val="en-US" w:eastAsia="zh-CN" w:bidi="ar-SA"/>
              </w:rPr>
            </w:pPr>
            <w:r>
              <w:rPr>
                <w:rFonts w:hint="eastAsia" w:ascii="Arial" w:hAnsi="Arial" w:cs="Arial"/>
                <w:b w:val="0"/>
                <w:bCs w:val="0"/>
                <w:sz w:val="20"/>
                <w:szCs w:val="20"/>
                <w:vertAlign w:val="baseline"/>
                <w:lang w:val="en-US" w:eastAsia="zh-CN"/>
              </w:rPr>
              <w:t>Note 1</w:t>
            </w:r>
          </w:p>
        </w:tc>
        <w:tc>
          <w:tcPr>
            <w:tcW w:w="1118" w:type="dxa"/>
            <w:vMerge w:val="restart"/>
            <w:vAlign w:val="center"/>
          </w:tcPr>
          <w:p w14:paraId="2BA9B738">
            <w:pPr>
              <w:spacing w:before="120" w:beforeLines="50" w:after="120" w:line="260" w:lineRule="exact"/>
              <w:jc w:val="center"/>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w:t>
            </w:r>
          </w:p>
        </w:tc>
        <w:tc>
          <w:tcPr>
            <w:tcW w:w="1269" w:type="dxa"/>
            <w:vMerge w:val="restart"/>
            <w:vAlign w:val="center"/>
          </w:tcPr>
          <w:p w14:paraId="50A50A43">
            <w:pPr>
              <w:spacing w:before="120" w:beforeLines="50" w:after="120" w:line="260" w:lineRule="exact"/>
              <w:jc w:val="center"/>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OAM</w:t>
            </w:r>
          </w:p>
        </w:tc>
        <w:tc>
          <w:tcPr>
            <w:tcW w:w="1192" w:type="dxa"/>
            <w:vMerge w:val="restart"/>
            <w:vAlign w:val="center"/>
          </w:tcPr>
          <w:p w14:paraId="70B48DB2">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UE-&gt;gNB-&gt;OAM</w:t>
            </w:r>
          </w:p>
        </w:tc>
      </w:tr>
      <w:tr w14:paraId="23D1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3AF41BB0">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Immediate MDT</w:t>
            </w:r>
          </w:p>
        </w:tc>
        <w:tc>
          <w:tcPr>
            <w:tcW w:w="1850" w:type="dxa"/>
            <w:vAlign w:val="center"/>
          </w:tcPr>
          <w:p w14:paraId="4C3B15BB">
            <w:pPr>
              <w:spacing w:before="120" w:beforeLines="50" w:after="120" w:line="260" w:lineRule="exact"/>
              <w:jc w:val="left"/>
              <w:rPr>
                <w:rFonts w:hint="default" w:ascii="Arial" w:hAnsi="Arial" w:cs="Arial"/>
                <w:b w:val="0"/>
                <w:bCs w:val="0"/>
                <w:sz w:val="22"/>
                <w:szCs w:val="22"/>
                <w:vertAlign w:val="baseline"/>
                <w:lang w:val="en-US" w:eastAsia="zh-CN"/>
              </w:rPr>
            </w:pPr>
            <w:r>
              <w:rPr>
                <w:rFonts w:hint="eastAsia" w:ascii="Arial" w:hAnsi="Arial" w:cs="Arial"/>
                <w:b w:val="0"/>
                <w:bCs w:val="0"/>
                <w:sz w:val="20"/>
                <w:szCs w:val="20"/>
                <w:vertAlign w:val="baseline"/>
                <w:lang w:val="en-US" w:eastAsia="zh-CN"/>
              </w:rPr>
              <w:t>UE location, L1/L3 measurement report, etc</w:t>
            </w:r>
          </w:p>
        </w:tc>
        <w:tc>
          <w:tcPr>
            <w:tcW w:w="1420" w:type="dxa"/>
            <w:vAlign w:val="center"/>
          </w:tcPr>
          <w:p w14:paraId="55CA5D6C">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Maximum size per report: 9KB</w:t>
            </w:r>
          </w:p>
        </w:tc>
        <w:tc>
          <w:tcPr>
            <w:tcW w:w="1839" w:type="dxa"/>
            <w:shd w:val="clear" w:color="auto" w:fill="auto"/>
            <w:vAlign w:val="center"/>
          </w:tcPr>
          <w:p w14:paraId="74D5F869">
            <w:pPr>
              <w:spacing w:before="120" w:beforeLines="50" w:after="120" w:line="260" w:lineRule="exact"/>
              <w:jc w:val="left"/>
              <w:rPr>
                <w:rFonts w:hint="eastAsia" w:ascii="Arial" w:hAnsi="Arial" w:cs="Arial"/>
                <w:b w:val="0"/>
                <w:bCs w:val="0"/>
                <w:sz w:val="20"/>
                <w:szCs w:val="20"/>
                <w:vertAlign w:val="baseline"/>
                <w:lang w:val="en-US" w:eastAsia="zh-CN"/>
              </w:rPr>
            </w:pPr>
            <w:r>
              <w:rPr>
                <w:rFonts w:ascii="Arial" w:hAnsi="Arial" w:eastAsia="宋体" w:cs="Arial"/>
                <w:sz w:val="20"/>
                <w:szCs w:val="21"/>
                <w:lang w:eastAsia="ko-KR"/>
              </w:rPr>
              <w:t>Near-real-time</w:t>
            </w:r>
            <w:r>
              <w:rPr>
                <w:rFonts w:hint="default" w:ascii="Arial" w:hAnsi="Arial" w:eastAsia="宋体" w:cs="Arial"/>
                <w:sz w:val="20"/>
                <w:szCs w:val="21"/>
                <w:lang w:val="en-US" w:eastAsia="zh-CN"/>
              </w:rPr>
              <w:t xml:space="preserve"> to</w:t>
            </w:r>
            <w:r>
              <w:rPr>
                <w:rFonts w:hint="eastAsia" w:ascii="Arial" w:hAnsi="Arial" w:eastAsia="宋体" w:cs="Arial"/>
                <w:sz w:val="20"/>
                <w:szCs w:val="21"/>
                <w:lang w:val="en-US" w:eastAsia="zh-CN"/>
              </w:rPr>
              <w:t xml:space="preserve"> </w:t>
            </w:r>
            <w:r>
              <w:rPr>
                <w:rFonts w:hint="eastAsia" w:ascii="Arial" w:hAnsi="Arial" w:cs="Arial"/>
                <w:b w:val="0"/>
                <w:bCs w:val="0"/>
                <w:sz w:val="20"/>
                <w:szCs w:val="20"/>
                <w:vertAlign w:val="baseline"/>
                <w:lang w:val="en-US" w:eastAsia="zh-CN"/>
              </w:rPr>
              <w:t>relaxed</w:t>
            </w:r>
          </w:p>
          <w:p w14:paraId="1CD035EC">
            <w:pPr>
              <w:spacing w:before="120" w:beforeLines="50" w:after="120" w:line="260" w:lineRule="exact"/>
              <w:jc w:val="left"/>
              <w:rPr>
                <w:rFonts w:hint="default" w:ascii="Arial" w:hAnsi="Arial" w:cs="Arial" w:eastAsiaTheme="minorEastAsia"/>
                <w:b w:val="0"/>
                <w:bCs w:val="0"/>
                <w:kern w:val="2"/>
                <w:sz w:val="20"/>
                <w:szCs w:val="20"/>
                <w:vertAlign w:val="baseline"/>
                <w:lang w:val="en-US" w:eastAsia="zh-CN" w:bidi="ar-SA"/>
              </w:rPr>
            </w:pPr>
            <w:r>
              <w:rPr>
                <w:rFonts w:hint="eastAsia" w:ascii="Arial" w:hAnsi="Arial" w:cs="Arial"/>
                <w:b w:val="0"/>
                <w:bCs w:val="0"/>
                <w:kern w:val="2"/>
                <w:sz w:val="20"/>
                <w:szCs w:val="20"/>
                <w:vertAlign w:val="baseline"/>
                <w:lang w:val="en-US" w:eastAsia="zh-CN" w:bidi="ar-SA"/>
              </w:rPr>
              <w:t>Note 2</w:t>
            </w:r>
          </w:p>
        </w:tc>
        <w:tc>
          <w:tcPr>
            <w:tcW w:w="1118" w:type="dxa"/>
            <w:vMerge w:val="continue"/>
            <w:vAlign w:val="center"/>
          </w:tcPr>
          <w:p w14:paraId="7BE8138E">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269" w:type="dxa"/>
            <w:vMerge w:val="continue"/>
            <w:vAlign w:val="center"/>
          </w:tcPr>
          <w:p w14:paraId="03097C59">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192" w:type="dxa"/>
            <w:vMerge w:val="continue"/>
            <w:vAlign w:val="center"/>
          </w:tcPr>
          <w:p w14:paraId="7C29BFEC">
            <w:pPr>
              <w:spacing w:before="120" w:beforeLines="50" w:after="120" w:line="260" w:lineRule="exact"/>
              <w:jc w:val="center"/>
              <w:rPr>
                <w:rFonts w:hint="eastAsia" w:ascii="Arial" w:hAnsi="Arial" w:cs="Arial"/>
                <w:b w:val="0"/>
                <w:bCs w:val="0"/>
                <w:sz w:val="20"/>
                <w:szCs w:val="20"/>
                <w:vertAlign w:val="baseline"/>
                <w:lang w:val="en-US" w:eastAsia="zh-CN"/>
              </w:rPr>
            </w:pPr>
          </w:p>
        </w:tc>
      </w:tr>
      <w:tr w14:paraId="40FB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vAlign w:val="center"/>
          </w:tcPr>
          <w:p w14:paraId="12E64D9F">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SON report</w:t>
            </w:r>
          </w:p>
        </w:tc>
        <w:tc>
          <w:tcPr>
            <w:tcW w:w="1850" w:type="dxa"/>
            <w:vAlign w:val="center"/>
          </w:tcPr>
          <w:p w14:paraId="399CC6E3">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RLF report, SHR, RACH report, etc.</w:t>
            </w:r>
          </w:p>
        </w:tc>
        <w:tc>
          <w:tcPr>
            <w:tcW w:w="1420" w:type="dxa"/>
            <w:vAlign w:val="center"/>
          </w:tcPr>
          <w:p w14:paraId="47589C97">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Maximum size per report: 9KB</w:t>
            </w:r>
          </w:p>
        </w:tc>
        <w:tc>
          <w:tcPr>
            <w:tcW w:w="1839" w:type="dxa"/>
            <w:shd w:val="clear" w:color="auto" w:fill="auto"/>
            <w:vAlign w:val="center"/>
          </w:tcPr>
          <w:p w14:paraId="3C9EC949">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Relaxed</w:t>
            </w:r>
          </w:p>
          <w:p w14:paraId="051CB188">
            <w:pPr>
              <w:spacing w:before="120" w:beforeLines="50" w:after="120" w:line="260" w:lineRule="exact"/>
              <w:jc w:val="left"/>
              <w:rPr>
                <w:rFonts w:hint="eastAsia" w:ascii="Arial" w:hAnsi="Arial" w:cs="Arial" w:eastAsiaTheme="minorEastAsia"/>
                <w:b w:val="0"/>
                <w:bCs w:val="0"/>
                <w:kern w:val="2"/>
                <w:sz w:val="20"/>
                <w:szCs w:val="20"/>
                <w:vertAlign w:val="baseline"/>
                <w:lang w:val="en-US" w:eastAsia="zh-CN" w:bidi="ar-SA"/>
              </w:rPr>
            </w:pPr>
            <w:r>
              <w:rPr>
                <w:rFonts w:hint="eastAsia" w:ascii="Arial" w:hAnsi="Arial" w:cs="Arial"/>
                <w:b w:val="0"/>
                <w:bCs w:val="0"/>
                <w:sz w:val="20"/>
                <w:szCs w:val="20"/>
                <w:vertAlign w:val="baseline"/>
                <w:lang w:val="en-US" w:eastAsia="zh-CN"/>
              </w:rPr>
              <w:t>Note 3</w:t>
            </w:r>
          </w:p>
        </w:tc>
        <w:tc>
          <w:tcPr>
            <w:tcW w:w="1118" w:type="dxa"/>
            <w:vAlign w:val="center"/>
          </w:tcPr>
          <w:p w14:paraId="11AB4BEA">
            <w:pPr>
              <w:spacing w:before="120" w:beforeLines="50" w:after="120" w:line="260" w:lineRule="exact"/>
              <w:jc w:val="center"/>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w:t>
            </w:r>
          </w:p>
        </w:tc>
        <w:tc>
          <w:tcPr>
            <w:tcW w:w="1269" w:type="dxa"/>
            <w:vAlign w:val="center"/>
          </w:tcPr>
          <w:p w14:paraId="43188BA8">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gNB</w:t>
            </w:r>
          </w:p>
        </w:tc>
        <w:tc>
          <w:tcPr>
            <w:tcW w:w="1192" w:type="dxa"/>
            <w:vAlign w:val="center"/>
          </w:tcPr>
          <w:p w14:paraId="4DDA202B">
            <w:pPr>
              <w:spacing w:before="120" w:beforeLines="50" w:after="120" w:line="260" w:lineRule="exact"/>
              <w:jc w:val="center"/>
              <w:rPr>
                <w:rFonts w:hint="eastAsia" w:ascii="Arial" w:hAnsi="Arial" w:cs="Arial"/>
                <w:b w:val="0"/>
                <w:bCs w:val="0"/>
                <w:sz w:val="20"/>
                <w:szCs w:val="20"/>
                <w:vertAlign w:val="baseline"/>
                <w:lang w:val="en-US" w:eastAsia="zh-CN"/>
              </w:rPr>
            </w:pPr>
            <w:r>
              <w:rPr>
                <w:rFonts w:hint="eastAsia" w:ascii="Arial" w:hAnsi="Arial" w:cs="Arial"/>
                <w:b w:val="0"/>
                <w:bCs w:val="0"/>
                <w:sz w:val="20"/>
                <w:szCs w:val="20"/>
                <w:highlight w:val="none"/>
                <w:vertAlign w:val="baseline"/>
                <w:lang w:val="en-US" w:eastAsia="zh-CN"/>
              </w:rPr>
              <w:t>UE-&gt;gNB</w:t>
            </w:r>
          </w:p>
        </w:tc>
      </w:tr>
      <w:tr w14:paraId="4DAA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19" w:type="dxa"/>
            <w:gridSpan w:val="7"/>
            <w:vAlign w:val="center"/>
          </w:tcPr>
          <w:p w14:paraId="0D71A902">
            <w:pPr>
              <w:spacing w:before="120" w:beforeLines="50" w:after="120" w:line="260" w:lineRule="exact"/>
              <w:jc w:val="left"/>
              <w:rPr>
                <w:rFonts w:hint="default" w:ascii="Arial" w:hAnsi="Arial" w:cs="Arial"/>
                <w:b w:val="0"/>
                <w:bCs w:val="0"/>
                <w:sz w:val="20"/>
                <w:szCs w:val="20"/>
                <w:highlight w:val="none"/>
                <w:vertAlign w:val="baseline"/>
                <w:lang w:val="en-US" w:eastAsia="zh-CN"/>
              </w:rPr>
            </w:pPr>
            <w:r>
              <w:rPr>
                <w:rFonts w:hint="eastAsia" w:ascii="Arial" w:hAnsi="Arial" w:cs="Arial"/>
                <w:b w:val="0"/>
                <w:bCs w:val="0"/>
                <w:sz w:val="20"/>
                <w:szCs w:val="20"/>
                <w:highlight w:val="none"/>
                <w:vertAlign w:val="baseline"/>
                <w:lang w:val="en-US" w:eastAsia="zh-CN"/>
              </w:rPr>
              <w:t>Note 1: UE-&gt;gNB: Upon gNB request after entering connected state. gNB-&gt;OAM: ~15 minutes periodicity in CMCC</w:t>
            </w:r>
            <w:r>
              <w:rPr>
                <w:rFonts w:hint="default" w:ascii="Arial" w:hAnsi="Arial" w:cs="Arial"/>
                <w:b w:val="0"/>
                <w:bCs w:val="0"/>
                <w:sz w:val="20"/>
                <w:szCs w:val="20"/>
                <w:highlight w:val="none"/>
                <w:vertAlign w:val="baseline"/>
                <w:lang w:val="en-US" w:eastAsia="zh-CN"/>
              </w:rPr>
              <w:t>’</w:t>
            </w:r>
            <w:r>
              <w:rPr>
                <w:rFonts w:hint="eastAsia" w:ascii="Arial" w:hAnsi="Arial" w:cs="Arial"/>
                <w:b w:val="0"/>
                <w:bCs w:val="0"/>
                <w:sz w:val="20"/>
                <w:szCs w:val="20"/>
                <w:highlight w:val="none"/>
                <w:vertAlign w:val="baseline"/>
                <w:lang w:val="en-US" w:eastAsia="zh-CN"/>
              </w:rPr>
              <w:t>s commercial network.</w:t>
            </w:r>
          </w:p>
          <w:p w14:paraId="00C7B529">
            <w:pPr>
              <w:spacing w:before="120" w:beforeLines="50" w:after="120" w:line="260" w:lineRule="exact"/>
              <w:jc w:val="left"/>
              <w:rPr>
                <w:rFonts w:hint="default" w:ascii="Arial" w:hAnsi="Arial" w:cs="Arial"/>
                <w:b w:val="0"/>
                <w:bCs w:val="0"/>
                <w:sz w:val="20"/>
                <w:szCs w:val="20"/>
                <w:highlight w:val="none"/>
                <w:vertAlign w:val="baseline"/>
                <w:lang w:val="en-US" w:eastAsia="zh-CN"/>
              </w:rPr>
            </w:pPr>
            <w:r>
              <w:rPr>
                <w:rFonts w:hint="eastAsia" w:ascii="Arial" w:hAnsi="Arial" w:cs="Arial"/>
                <w:b w:val="0"/>
                <w:bCs w:val="0"/>
                <w:sz w:val="20"/>
                <w:szCs w:val="20"/>
                <w:highlight w:val="none"/>
                <w:vertAlign w:val="baseline"/>
                <w:lang w:val="en-US" w:eastAsia="zh-CN"/>
              </w:rPr>
              <w:t>Note 2: Event triggered or period reporting with interval 120ms~30min, depends on NW configuration.</w:t>
            </w:r>
          </w:p>
          <w:p w14:paraId="4C3F809C">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highlight w:val="none"/>
                <w:vertAlign w:val="baseline"/>
                <w:lang w:val="en-US" w:eastAsia="zh-CN"/>
              </w:rPr>
              <w:t>Note 3: Upon gNB request.</w:t>
            </w:r>
          </w:p>
        </w:tc>
      </w:tr>
    </w:tbl>
    <w:p w14:paraId="0093A0F1">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7: For SON/MDT, data can be produced by the UE and consumed by gNB or OAM. The typical data includes UE location, L1/L3 measurements, RLF report, RACH report, etc..</w:t>
      </w:r>
    </w:p>
    <w:p w14:paraId="42592977">
      <w:pPr>
        <w:spacing w:before="120" w:beforeLines="50" w:after="120" w:line="260" w:lineRule="exact"/>
        <w:rPr>
          <w:rFonts w:hint="eastAsia" w:ascii="Arial" w:hAnsi="Arial" w:cs="Arial"/>
          <w:sz w:val="21"/>
          <w:szCs w:val="21"/>
          <w:lang w:val="en-US" w:eastAsia="zh-CN"/>
        </w:rPr>
      </w:pPr>
    </w:p>
    <w:p w14:paraId="6B302796">
      <w:pPr>
        <w:numPr>
          <w:ilvl w:val="0"/>
          <w:numId w:val="10"/>
        </w:numPr>
        <w:spacing w:after="120" w:afterLines="50"/>
        <w:ind w:left="420" w:leftChars="0" w:hanging="420" w:firstLineChars="0"/>
        <w:rPr>
          <w:rFonts w:hint="default" w:ascii="Arial" w:hAnsi="Arial" w:cs="Arial" w:eastAsiaTheme="minorEastAsia"/>
          <w:b/>
          <w:bCs/>
          <w:i/>
          <w:iCs/>
          <w:szCs w:val="21"/>
          <w:lang w:val="en-US" w:eastAsia="zh-CN" w:bidi="ar"/>
        </w:rPr>
      </w:pPr>
      <w:r>
        <w:rPr>
          <w:rFonts w:hint="eastAsia" w:ascii="Arial" w:hAnsi="Arial" w:cs="Arial" w:eastAsiaTheme="minorEastAsia"/>
          <w:b/>
          <w:bCs/>
          <w:i/>
          <w:iCs/>
          <w:szCs w:val="21"/>
          <w:lang w:val="en-US" w:eastAsia="zh-CN" w:bidi="ar"/>
        </w:rPr>
        <w:t>QoE</w:t>
      </w:r>
    </w:p>
    <w:p w14:paraId="4486643E">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5G NR QoE supports the Application Layer Measurement Collection function, which enables the collection of application layer measurements from the UE. The configuration of QoE measurement is provided by OAM, and QoE measurement triggering and stopping can be realized using time-based and/or threshold-based criteria, which also configured by the OAM. RAN is not allowed to intervene, i.e. pause, activate or deactivate an ongoing QoE measurement collection unless instructed otherwise by the OAM. For QoE, different service types are supported, including streaming services, MTSI services, VR, MBMS, XR, etc. </w:t>
      </w:r>
      <w:r>
        <w:rPr>
          <w:rFonts w:hint="eastAsia" w:ascii="Arial" w:hAnsi="Arial" w:cs="Arial"/>
          <w:b w:val="0"/>
          <w:bCs w:val="0"/>
          <w:sz w:val="21"/>
          <w:szCs w:val="21"/>
          <w:highlight w:val="none"/>
          <w:lang w:val="en-US" w:eastAsia="zh-CN"/>
        </w:rPr>
        <w:t>In addition to the legacy QoE, RAN-visible QoE is introduced to enable RAN make use of the QoE metrics for such as optimization of RAN resource scheduling. Figure 2 [5] shows the message flow for RAN-visible QoE information reporting.</w:t>
      </w:r>
    </w:p>
    <w:p w14:paraId="34A63915">
      <w:pPr>
        <w:spacing w:before="120" w:beforeLines="50" w:after="120" w:line="240" w:lineRule="auto"/>
        <w:jc w:val="center"/>
      </w:pPr>
      <w:r>
        <w:object>
          <v:shape id="_x0000_i1025" o:spt="75" type="#_x0000_t75" style="height:100.95pt;width:406.3pt;" o:ole="t" filled="f" o:preferrelative="t" stroked="f" coordsize="21600,21600">
            <v:path/>
            <v:fill on="f" focussize="0,0"/>
            <v:stroke on="f"/>
            <v:imagedata r:id="rId6" o:title=""/>
            <o:lock v:ext="edit" aspectratio="t"/>
            <w10:wrap type="none"/>
            <w10:anchorlock/>
          </v:shape>
          <o:OLEObject Type="Embed" ProgID="Visio.Drawing.11" ShapeID="_x0000_i1025" DrawAspect="Content" ObjectID="_1468075725" r:id="rId5">
            <o:LockedField>false</o:LockedField>
          </o:OLEObject>
        </w:object>
      </w:r>
    </w:p>
    <w:p w14:paraId="793E7153">
      <w:pPr>
        <w:spacing w:before="120" w:beforeLines="50" w:after="120" w:line="240" w:lineRule="auto"/>
        <w:jc w:val="center"/>
        <w:rPr>
          <w:rFonts w:hint="eastAsia" w:ascii="Arial" w:hAnsi="Arial" w:cs="Arial"/>
          <w:b/>
          <w:bCs/>
          <w:szCs w:val="21"/>
          <w:highlight w:val="none"/>
          <w:lang w:val="en-US" w:eastAsia="zh-CN"/>
        </w:rPr>
      </w:pPr>
      <w:r>
        <w:rPr>
          <w:rFonts w:hint="eastAsia" w:ascii="Arial" w:hAnsi="Arial" w:cs="Arial"/>
          <w:b/>
          <w:bCs/>
          <w:szCs w:val="21"/>
          <w:highlight w:val="none"/>
          <w:lang w:val="en-US" w:eastAsia="zh-CN"/>
        </w:rPr>
        <w:t>Figure 2: RAN-visible QoE information reporting</w:t>
      </w:r>
    </w:p>
    <w:p w14:paraId="5900FB9E">
      <w:pPr>
        <w:spacing w:before="120" w:beforeLines="50" w:after="120" w:line="240" w:lineRule="auto"/>
        <w:jc w:val="both"/>
        <w:rPr>
          <w:rFonts w:hint="eastAsia" w:ascii="Arial" w:hAnsi="Arial" w:cs="Arial"/>
          <w:b/>
          <w:bCs/>
          <w:szCs w:val="21"/>
          <w:highlight w:val="none"/>
          <w:lang w:val="en-US" w:eastAsia="zh-CN"/>
        </w:rPr>
      </w:pPr>
      <w:r>
        <w:rPr>
          <w:rFonts w:hint="eastAsia" w:ascii="Arial" w:hAnsi="Arial" w:cs="Arial"/>
          <w:b w:val="0"/>
          <w:bCs w:val="0"/>
          <w:sz w:val="21"/>
          <w:szCs w:val="21"/>
          <w:lang w:val="en-US" w:eastAsia="zh-CN"/>
        </w:rPr>
        <w:t>For QoE measurement, the typical data content, data size, latency requirement, and data producer, consumer, transfer path for different service types or use cases are listed in the following table.</w:t>
      </w:r>
    </w:p>
    <w:p w14:paraId="0CDE063E">
      <w:pPr>
        <w:spacing w:before="120" w:beforeLines="50" w:after="120" w:line="260" w:lineRule="exact"/>
        <w:jc w:val="center"/>
        <w:rPr>
          <w:rFonts w:hint="default" w:ascii="Arial" w:hAnsi="Arial" w:cs="Arial"/>
          <w:b/>
          <w:bCs/>
          <w:sz w:val="21"/>
          <w:szCs w:val="21"/>
          <w:lang w:val="en-US" w:eastAsia="zh-CN"/>
        </w:rPr>
      </w:pPr>
      <w:r>
        <w:rPr>
          <w:rFonts w:hint="eastAsia" w:ascii="Arial" w:hAnsi="Arial" w:cs="Arial"/>
          <w:b/>
          <w:bCs/>
          <w:sz w:val="21"/>
          <w:szCs w:val="21"/>
          <w:lang w:val="en-US" w:eastAsia="zh-CN"/>
        </w:rPr>
        <w:t>Table 7: Typical data type for QoE measurement</w:t>
      </w:r>
    </w:p>
    <w:tbl>
      <w:tblPr>
        <w:tblStyle w:val="17"/>
        <w:tblW w:w="96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079"/>
        <w:gridCol w:w="1320"/>
        <w:gridCol w:w="1499"/>
        <w:gridCol w:w="1131"/>
        <w:gridCol w:w="1263"/>
        <w:gridCol w:w="1207"/>
      </w:tblGrid>
      <w:tr w14:paraId="6CB2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tcPr>
          <w:p w14:paraId="32B27038">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Use case</w:t>
            </w:r>
          </w:p>
        </w:tc>
        <w:tc>
          <w:tcPr>
            <w:tcW w:w="2079" w:type="dxa"/>
          </w:tcPr>
          <w:p w14:paraId="7B9B6E6D">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content</w:t>
            </w:r>
          </w:p>
        </w:tc>
        <w:tc>
          <w:tcPr>
            <w:tcW w:w="1320" w:type="dxa"/>
          </w:tcPr>
          <w:p w14:paraId="3809D4C4">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Typical data Size</w:t>
            </w:r>
          </w:p>
        </w:tc>
        <w:tc>
          <w:tcPr>
            <w:tcW w:w="1499" w:type="dxa"/>
            <w:shd w:val="clear" w:color="auto" w:fill="auto"/>
            <w:vAlign w:val="top"/>
          </w:tcPr>
          <w:p w14:paraId="691ECE64">
            <w:pPr>
              <w:spacing w:before="120" w:beforeLines="50" w:after="120" w:line="260" w:lineRule="exact"/>
              <w:jc w:val="center"/>
              <w:rPr>
                <w:rFonts w:hint="eastAsia" w:ascii="Arial" w:hAnsi="Arial" w:cs="Arial" w:eastAsiaTheme="minorEastAsia"/>
                <w:b/>
                <w:bCs/>
                <w:kern w:val="2"/>
                <w:sz w:val="20"/>
                <w:szCs w:val="20"/>
                <w:vertAlign w:val="baseline"/>
                <w:lang w:val="en-US" w:eastAsia="zh-CN" w:bidi="ar-SA"/>
              </w:rPr>
            </w:pPr>
            <w:r>
              <w:rPr>
                <w:rFonts w:hint="eastAsia" w:ascii="Arial" w:hAnsi="Arial" w:cs="Arial"/>
                <w:b/>
                <w:bCs/>
                <w:sz w:val="20"/>
                <w:szCs w:val="20"/>
                <w:vertAlign w:val="baseline"/>
                <w:lang w:val="en-US" w:eastAsia="zh-CN"/>
              </w:rPr>
              <w:t>Typical latency requirement, or reporting period</w:t>
            </w:r>
          </w:p>
        </w:tc>
        <w:tc>
          <w:tcPr>
            <w:tcW w:w="1131" w:type="dxa"/>
          </w:tcPr>
          <w:p w14:paraId="6AC28AA3">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Producer</w:t>
            </w:r>
          </w:p>
        </w:tc>
        <w:tc>
          <w:tcPr>
            <w:tcW w:w="1263" w:type="dxa"/>
          </w:tcPr>
          <w:p w14:paraId="124B7FDD">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Consumer</w:t>
            </w:r>
          </w:p>
        </w:tc>
        <w:tc>
          <w:tcPr>
            <w:tcW w:w="1207" w:type="dxa"/>
          </w:tcPr>
          <w:p w14:paraId="1B87FFCB">
            <w:pPr>
              <w:spacing w:before="120" w:beforeLines="50" w:after="120" w:line="260" w:lineRule="exact"/>
              <w:jc w:val="center"/>
              <w:rPr>
                <w:rFonts w:hint="default" w:ascii="Arial" w:hAnsi="Arial" w:cs="Arial"/>
                <w:b/>
                <w:bCs/>
                <w:sz w:val="20"/>
                <w:szCs w:val="20"/>
                <w:vertAlign w:val="baseline"/>
                <w:lang w:val="en-US" w:eastAsia="zh-CN"/>
              </w:rPr>
            </w:pPr>
            <w:r>
              <w:rPr>
                <w:rFonts w:hint="eastAsia" w:ascii="Arial" w:hAnsi="Arial" w:cs="Arial"/>
                <w:b/>
                <w:bCs/>
                <w:sz w:val="20"/>
                <w:szCs w:val="20"/>
                <w:vertAlign w:val="baseline"/>
                <w:lang w:val="en-US" w:eastAsia="zh-CN"/>
              </w:rPr>
              <w:t>Transfer path</w:t>
            </w:r>
          </w:p>
        </w:tc>
      </w:tr>
      <w:tr w14:paraId="16621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0A784CFD">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MTSI</w:t>
            </w:r>
          </w:p>
        </w:tc>
        <w:tc>
          <w:tcPr>
            <w:tcW w:w="2079" w:type="dxa"/>
            <w:vAlign w:val="center"/>
          </w:tcPr>
          <w:p w14:paraId="5C5CEF6A">
            <w:pPr>
              <w:spacing w:before="120" w:beforeLines="50" w:after="120" w:line="260" w:lineRule="exact"/>
              <w:jc w:val="left"/>
              <w:rPr>
                <w:rFonts w:hint="default" w:ascii="Arial" w:hAnsi="Arial" w:cs="Arial"/>
                <w:b w:val="0"/>
                <w:bCs w:val="0"/>
                <w:sz w:val="20"/>
                <w:szCs w:val="20"/>
                <w:vertAlign w:val="baseline"/>
                <w:lang w:val="en-US" w:eastAsia="zh-CN"/>
              </w:rPr>
            </w:pPr>
            <w:r>
              <w:rPr>
                <w:rFonts w:hint="default" w:ascii="Arial" w:hAnsi="Arial" w:cs="Arial"/>
                <w:b w:val="0"/>
                <w:bCs w:val="0"/>
                <w:sz w:val="20"/>
                <w:szCs w:val="20"/>
                <w:vertAlign w:val="baseline"/>
                <w:lang w:val="en-US" w:eastAsia="zh-CN"/>
              </w:rPr>
              <w:t>Corruption duration metric</w:t>
            </w:r>
            <w:r>
              <w:rPr>
                <w:rFonts w:hint="eastAsia" w:ascii="Arial" w:hAnsi="Arial" w:cs="Arial"/>
                <w:b w:val="0"/>
                <w:bCs w:val="0"/>
                <w:sz w:val="20"/>
                <w:szCs w:val="20"/>
                <w:vertAlign w:val="baseline"/>
                <w:lang w:val="en-US" w:eastAsia="zh-CN"/>
              </w:rPr>
              <w:t>, successive loss of RTP packets, frame rate, jitter duration, round-trip time, etc.</w:t>
            </w:r>
          </w:p>
        </w:tc>
        <w:tc>
          <w:tcPr>
            <w:tcW w:w="1320" w:type="dxa"/>
            <w:vMerge w:val="restart"/>
            <w:vAlign w:val="center"/>
          </w:tcPr>
          <w:p w14:paraId="6F214219">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Maximum size per report: 9KB</w:t>
            </w:r>
          </w:p>
          <w:p w14:paraId="6DC0AA90">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Minimum b</w:t>
            </w:r>
            <w:r>
              <w:rPr>
                <w:rFonts w:hint="eastAsia" w:ascii="Arial" w:hAnsi="Arial" w:cs="Arial"/>
                <w:b w:val="0"/>
                <w:bCs w:val="0"/>
                <w:sz w:val="20"/>
                <w:szCs w:val="20"/>
                <w:vertAlign w:val="baseline"/>
                <w:lang w:val="en-US" w:eastAsia="zh-CN"/>
              </w:rPr>
              <w:t xml:space="preserve">uffer: </w:t>
            </w:r>
            <w:r>
              <w:rPr>
                <w:rFonts w:hint="default" w:ascii="Arial" w:hAnsi="Arial" w:cs="Arial"/>
                <w:b w:val="0"/>
                <w:bCs w:val="0"/>
                <w:sz w:val="20"/>
                <w:szCs w:val="20"/>
                <w:vertAlign w:val="baseline"/>
                <w:lang w:val="en-US" w:eastAsia="zh-CN"/>
              </w:rPr>
              <w:t>128</w:t>
            </w:r>
            <w:r>
              <w:rPr>
                <w:rFonts w:hint="eastAsia" w:ascii="Arial" w:hAnsi="Arial" w:cs="Arial"/>
                <w:b w:val="0"/>
                <w:bCs w:val="0"/>
                <w:sz w:val="20"/>
                <w:szCs w:val="20"/>
                <w:vertAlign w:val="baseline"/>
                <w:lang w:val="en-US" w:eastAsia="zh-CN"/>
              </w:rPr>
              <w:t xml:space="preserve"> KB</w:t>
            </w:r>
          </w:p>
        </w:tc>
        <w:tc>
          <w:tcPr>
            <w:tcW w:w="1499" w:type="dxa"/>
            <w:vMerge w:val="restart"/>
            <w:shd w:val="clear" w:color="auto" w:fill="auto"/>
            <w:vAlign w:val="center"/>
          </w:tcPr>
          <w:p w14:paraId="746FBE97">
            <w:pPr>
              <w:spacing w:before="120" w:beforeLines="50" w:after="120" w:line="260" w:lineRule="exact"/>
              <w:jc w:val="left"/>
              <w:rPr>
                <w:rFonts w:hint="default" w:ascii="Arial" w:hAnsi="Arial" w:cs="Arial" w:eastAsiaTheme="minorEastAsia"/>
                <w:b w:val="0"/>
                <w:bCs w:val="0"/>
                <w:kern w:val="2"/>
                <w:sz w:val="20"/>
                <w:szCs w:val="20"/>
                <w:vertAlign w:val="baseline"/>
                <w:lang w:val="en-US" w:eastAsia="zh-CN" w:bidi="ar-SA"/>
              </w:rPr>
            </w:pPr>
            <w:r>
              <w:rPr>
                <w:rFonts w:hint="eastAsia" w:ascii="Arial" w:hAnsi="Arial" w:cs="Arial"/>
                <w:b w:val="0"/>
                <w:bCs w:val="0"/>
                <w:kern w:val="2"/>
                <w:sz w:val="20"/>
                <w:szCs w:val="20"/>
                <w:vertAlign w:val="baseline"/>
                <w:lang w:val="en-US" w:eastAsia="zh-CN" w:bidi="ar-SA"/>
              </w:rPr>
              <w:t>Relaxed</w:t>
            </w:r>
          </w:p>
        </w:tc>
        <w:tc>
          <w:tcPr>
            <w:tcW w:w="1131" w:type="dxa"/>
            <w:vMerge w:val="restart"/>
            <w:vAlign w:val="center"/>
          </w:tcPr>
          <w:p w14:paraId="18B61901">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w:t>
            </w:r>
          </w:p>
        </w:tc>
        <w:tc>
          <w:tcPr>
            <w:tcW w:w="1263" w:type="dxa"/>
            <w:vMerge w:val="restart"/>
            <w:vAlign w:val="center"/>
          </w:tcPr>
          <w:p w14:paraId="5486785F">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QoE server</w:t>
            </w:r>
          </w:p>
        </w:tc>
        <w:tc>
          <w:tcPr>
            <w:tcW w:w="1207" w:type="dxa"/>
            <w:vMerge w:val="restart"/>
            <w:vAlign w:val="center"/>
          </w:tcPr>
          <w:p w14:paraId="2E5152DF">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highlight w:val="none"/>
                <w:vertAlign w:val="baseline"/>
                <w:lang w:val="en-US" w:eastAsia="zh-CN"/>
              </w:rPr>
              <w:t>UE-&gt;[OAM]-&gt;</w:t>
            </w:r>
            <w:r>
              <w:rPr>
                <w:rFonts w:hint="eastAsia" w:ascii="Arial" w:hAnsi="Arial" w:cs="Arial"/>
                <w:b w:val="0"/>
                <w:bCs w:val="0"/>
                <w:sz w:val="20"/>
                <w:szCs w:val="20"/>
                <w:vertAlign w:val="baseline"/>
                <w:lang w:val="en-US" w:eastAsia="zh-CN"/>
              </w:rPr>
              <w:t>QoE server</w:t>
            </w:r>
          </w:p>
        </w:tc>
      </w:tr>
      <w:tr w14:paraId="677D2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24279BC">
            <w:pPr>
              <w:spacing w:before="120" w:beforeLines="50" w:after="120" w:line="260" w:lineRule="exact"/>
              <w:jc w:val="center"/>
              <w:rPr>
                <w:rFonts w:hint="default" w:ascii="Arial" w:hAnsi="Arial" w:cs="Arial"/>
                <w:b w:val="0"/>
                <w:bCs w:val="0"/>
                <w:sz w:val="20"/>
                <w:szCs w:val="20"/>
                <w:vertAlign w:val="baseline"/>
                <w:lang w:val="en-US" w:eastAsia="zh-CN"/>
              </w:rPr>
            </w:pPr>
            <w:r>
              <w:rPr>
                <w:rFonts w:hint="default" w:ascii="Arial" w:hAnsi="Arial" w:cs="Arial"/>
                <w:b w:val="0"/>
                <w:bCs w:val="0"/>
                <w:sz w:val="20"/>
                <w:szCs w:val="20"/>
                <w:vertAlign w:val="baseline"/>
                <w:lang w:val="en-US" w:eastAsia="zh-CN"/>
              </w:rPr>
              <w:t>Streaming</w:t>
            </w:r>
            <w:r>
              <w:rPr>
                <w:rFonts w:hint="eastAsia" w:ascii="Arial" w:hAnsi="Arial" w:cs="Arial"/>
                <w:b w:val="0"/>
                <w:bCs w:val="0"/>
                <w:sz w:val="20"/>
                <w:szCs w:val="20"/>
                <w:vertAlign w:val="baseline"/>
                <w:lang w:val="en-US" w:eastAsia="zh-CN"/>
              </w:rPr>
              <w:t xml:space="preserve"> service</w:t>
            </w:r>
          </w:p>
        </w:tc>
        <w:tc>
          <w:tcPr>
            <w:tcW w:w="2079" w:type="dxa"/>
            <w:vAlign w:val="center"/>
          </w:tcPr>
          <w:p w14:paraId="4D4A4EAB">
            <w:pPr>
              <w:spacing w:before="120" w:beforeLines="50" w:after="120" w:line="260" w:lineRule="exact"/>
              <w:jc w:val="left"/>
              <w:rPr>
                <w:rFonts w:hint="default" w:ascii="Arial" w:hAnsi="Arial" w:cs="Arial"/>
                <w:b w:val="0"/>
                <w:bCs w:val="0"/>
                <w:sz w:val="22"/>
                <w:szCs w:val="22"/>
                <w:vertAlign w:val="baseline"/>
                <w:lang w:val="en-US" w:eastAsia="zh-CN"/>
              </w:rPr>
            </w:pPr>
            <w:r>
              <w:rPr>
                <w:rFonts w:hint="eastAsia" w:ascii="Arial" w:hAnsi="Arial" w:cs="Arial"/>
                <w:b w:val="0"/>
                <w:bCs w:val="0"/>
                <w:sz w:val="20"/>
                <w:szCs w:val="20"/>
                <w:vertAlign w:val="baseline"/>
                <w:lang w:val="en-US" w:eastAsia="zh-CN"/>
              </w:rPr>
              <w:t>Average throughput, initial playout delay, buffer level, device information, etc.</w:t>
            </w:r>
          </w:p>
        </w:tc>
        <w:tc>
          <w:tcPr>
            <w:tcW w:w="1320" w:type="dxa"/>
            <w:vMerge w:val="continue"/>
            <w:vAlign w:val="center"/>
          </w:tcPr>
          <w:p w14:paraId="326A0E66">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499" w:type="dxa"/>
            <w:vMerge w:val="continue"/>
            <w:vAlign w:val="center"/>
          </w:tcPr>
          <w:p w14:paraId="2B36F8DA">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131" w:type="dxa"/>
            <w:vMerge w:val="continue"/>
            <w:vAlign w:val="center"/>
          </w:tcPr>
          <w:p w14:paraId="6EE34BAA">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263" w:type="dxa"/>
            <w:vMerge w:val="continue"/>
            <w:vAlign w:val="center"/>
          </w:tcPr>
          <w:p w14:paraId="3F1DA417">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207" w:type="dxa"/>
            <w:vMerge w:val="continue"/>
            <w:vAlign w:val="center"/>
          </w:tcPr>
          <w:p w14:paraId="58F78C12">
            <w:pPr>
              <w:spacing w:before="120" w:beforeLines="50" w:after="120" w:line="260" w:lineRule="exact"/>
              <w:jc w:val="center"/>
              <w:rPr>
                <w:rFonts w:hint="eastAsia" w:ascii="Arial" w:hAnsi="Arial" w:cs="Arial"/>
                <w:b w:val="0"/>
                <w:bCs w:val="0"/>
                <w:sz w:val="20"/>
                <w:szCs w:val="20"/>
                <w:vertAlign w:val="baseline"/>
                <w:lang w:val="en-US" w:eastAsia="zh-CN"/>
              </w:rPr>
            </w:pPr>
          </w:p>
        </w:tc>
      </w:tr>
      <w:tr w14:paraId="7E61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6FE31BD9">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VR</w:t>
            </w:r>
          </w:p>
        </w:tc>
        <w:tc>
          <w:tcPr>
            <w:tcW w:w="2079" w:type="dxa"/>
            <w:vAlign w:val="center"/>
          </w:tcPr>
          <w:p w14:paraId="0976687F">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Average throughput, buffer level, VR device resolution, VR device refresh rate, etc.</w:t>
            </w:r>
          </w:p>
        </w:tc>
        <w:tc>
          <w:tcPr>
            <w:tcW w:w="1320" w:type="dxa"/>
            <w:vMerge w:val="continue"/>
            <w:vAlign w:val="center"/>
          </w:tcPr>
          <w:p w14:paraId="0614A5B0">
            <w:pPr>
              <w:spacing w:before="120" w:beforeLines="50" w:after="120" w:line="260" w:lineRule="exact"/>
              <w:jc w:val="center"/>
              <w:rPr>
                <w:rFonts w:hint="eastAsia" w:ascii="Arial" w:hAnsi="Arial" w:cs="Arial"/>
                <w:b w:val="0"/>
                <w:bCs w:val="0"/>
                <w:sz w:val="20"/>
                <w:szCs w:val="20"/>
                <w:vertAlign w:val="baseline"/>
                <w:lang w:val="en-US" w:eastAsia="zh-CN"/>
              </w:rPr>
            </w:pPr>
          </w:p>
        </w:tc>
        <w:tc>
          <w:tcPr>
            <w:tcW w:w="1499" w:type="dxa"/>
            <w:vMerge w:val="continue"/>
            <w:vAlign w:val="center"/>
          </w:tcPr>
          <w:p w14:paraId="22AC38DA">
            <w:pPr>
              <w:spacing w:before="120" w:beforeLines="50" w:after="120" w:line="260" w:lineRule="exact"/>
              <w:jc w:val="center"/>
              <w:rPr>
                <w:rFonts w:hint="default" w:ascii="Arial" w:hAnsi="Arial" w:cs="Arial"/>
                <w:b w:val="0"/>
                <w:bCs w:val="0"/>
                <w:sz w:val="20"/>
                <w:szCs w:val="20"/>
                <w:vertAlign w:val="baseline"/>
                <w:lang w:val="en-US" w:eastAsia="zh-CN"/>
              </w:rPr>
            </w:pPr>
          </w:p>
        </w:tc>
        <w:tc>
          <w:tcPr>
            <w:tcW w:w="1131" w:type="dxa"/>
            <w:vMerge w:val="continue"/>
            <w:vAlign w:val="center"/>
          </w:tcPr>
          <w:p w14:paraId="57703D81">
            <w:pPr>
              <w:spacing w:before="120" w:beforeLines="50" w:after="120" w:line="260" w:lineRule="exact"/>
              <w:jc w:val="center"/>
              <w:rPr>
                <w:rFonts w:hint="default" w:ascii="Arial" w:hAnsi="Arial" w:cs="Arial"/>
                <w:b w:val="0"/>
                <w:bCs w:val="0"/>
                <w:sz w:val="20"/>
                <w:szCs w:val="20"/>
                <w:vertAlign w:val="baseline"/>
                <w:lang w:val="en-US" w:eastAsia="zh-CN"/>
              </w:rPr>
            </w:pPr>
          </w:p>
        </w:tc>
        <w:tc>
          <w:tcPr>
            <w:tcW w:w="1263" w:type="dxa"/>
            <w:vMerge w:val="continue"/>
            <w:vAlign w:val="center"/>
          </w:tcPr>
          <w:p w14:paraId="0F600D0C">
            <w:pPr>
              <w:spacing w:before="120" w:beforeLines="50" w:after="120" w:line="260" w:lineRule="exact"/>
              <w:jc w:val="center"/>
              <w:rPr>
                <w:rFonts w:hint="default" w:ascii="Arial" w:hAnsi="Arial" w:cs="Arial"/>
                <w:b w:val="0"/>
                <w:bCs w:val="0"/>
                <w:sz w:val="20"/>
                <w:szCs w:val="20"/>
                <w:vertAlign w:val="baseline"/>
                <w:lang w:val="en-US" w:eastAsia="zh-CN"/>
              </w:rPr>
            </w:pPr>
          </w:p>
        </w:tc>
        <w:tc>
          <w:tcPr>
            <w:tcW w:w="1207" w:type="dxa"/>
            <w:vMerge w:val="continue"/>
            <w:vAlign w:val="center"/>
          </w:tcPr>
          <w:p w14:paraId="46F6DB93">
            <w:pPr>
              <w:spacing w:before="120" w:beforeLines="50" w:after="120" w:line="260" w:lineRule="exact"/>
              <w:jc w:val="center"/>
              <w:rPr>
                <w:rFonts w:hint="default" w:ascii="Arial" w:hAnsi="Arial" w:cs="Arial"/>
                <w:b w:val="0"/>
                <w:bCs w:val="0"/>
                <w:sz w:val="20"/>
                <w:szCs w:val="20"/>
                <w:vertAlign w:val="baseline"/>
                <w:lang w:val="en-US" w:eastAsia="zh-CN"/>
              </w:rPr>
            </w:pPr>
          </w:p>
        </w:tc>
      </w:tr>
      <w:tr w14:paraId="69F83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65" w:type="dxa"/>
            <w:vAlign w:val="center"/>
          </w:tcPr>
          <w:p w14:paraId="3FE25C36">
            <w:pPr>
              <w:spacing w:before="120" w:beforeLines="50" w:after="120" w:line="260" w:lineRule="exact"/>
              <w:jc w:val="center"/>
              <w:rPr>
                <w:rFonts w:hint="eastAsia" w:ascii="Arial" w:hAnsi="Arial" w:cs="Arial"/>
                <w:b w:val="0"/>
                <w:bCs w:val="0"/>
                <w:sz w:val="20"/>
                <w:szCs w:val="20"/>
                <w:vertAlign w:val="baseline"/>
                <w:lang w:val="en-US" w:eastAsia="zh-CN"/>
              </w:rPr>
            </w:pPr>
            <w:r>
              <w:rPr>
                <w:rFonts w:hint="eastAsia" w:ascii="Arial" w:hAnsi="Arial" w:cs="Arial"/>
                <w:b w:val="0"/>
                <w:bCs w:val="0"/>
                <w:sz w:val="20"/>
                <w:szCs w:val="20"/>
                <w:highlight w:val="none"/>
                <w:vertAlign w:val="baseline"/>
                <w:lang w:val="en-US" w:eastAsia="zh-CN"/>
              </w:rPr>
              <w:t>RAN-visible QoE</w:t>
            </w:r>
          </w:p>
        </w:tc>
        <w:tc>
          <w:tcPr>
            <w:tcW w:w="2079" w:type="dxa"/>
            <w:vAlign w:val="center"/>
          </w:tcPr>
          <w:p w14:paraId="1DAB71B9">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Buffer level, playout delay for media start-up</w:t>
            </w:r>
          </w:p>
        </w:tc>
        <w:tc>
          <w:tcPr>
            <w:tcW w:w="1320" w:type="dxa"/>
            <w:vAlign w:val="center"/>
          </w:tcPr>
          <w:p w14:paraId="07264647">
            <w:pPr>
              <w:spacing w:before="120" w:beforeLines="50" w:after="120" w:line="260" w:lineRule="exact"/>
              <w:jc w:val="left"/>
              <w:rPr>
                <w:rFonts w:hint="eastAsia"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Maximum size per report: 9KB</w:t>
            </w:r>
            <w:bookmarkStart w:id="15" w:name="_GoBack"/>
            <w:bookmarkEnd w:id="15"/>
          </w:p>
        </w:tc>
        <w:tc>
          <w:tcPr>
            <w:tcW w:w="1499" w:type="dxa"/>
            <w:vAlign w:val="center"/>
          </w:tcPr>
          <w:p w14:paraId="6D562394">
            <w:pPr>
              <w:spacing w:before="120" w:beforeLines="50" w:after="120" w:line="260" w:lineRule="exact"/>
              <w:jc w:val="left"/>
              <w:rPr>
                <w:rFonts w:hint="default" w:ascii="Arial" w:hAnsi="Arial" w:cs="Arial"/>
                <w:b w:val="0"/>
                <w:bCs w:val="0"/>
                <w:sz w:val="20"/>
                <w:szCs w:val="20"/>
                <w:vertAlign w:val="baseline"/>
                <w:lang w:val="en-US" w:eastAsia="zh-CN"/>
              </w:rPr>
            </w:pPr>
            <w:r>
              <w:rPr>
                <w:rFonts w:hint="eastAsia" w:ascii="Arial" w:hAnsi="Arial" w:cs="Arial"/>
                <w:b w:val="0"/>
                <w:bCs w:val="0"/>
                <w:sz w:val="20"/>
                <w:szCs w:val="20"/>
                <w:highlight w:val="none"/>
                <w:vertAlign w:val="baseline"/>
                <w:lang w:val="en-US" w:eastAsia="zh-CN"/>
              </w:rPr>
              <w:t>Reporting period is 120ms~1024ms</w:t>
            </w:r>
          </w:p>
        </w:tc>
        <w:tc>
          <w:tcPr>
            <w:tcW w:w="1131" w:type="dxa"/>
            <w:vAlign w:val="center"/>
          </w:tcPr>
          <w:p w14:paraId="6D1AE8F6">
            <w:pPr>
              <w:spacing w:before="120" w:beforeLines="50" w:after="120" w:line="260" w:lineRule="exact"/>
              <w:jc w:val="center"/>
              <w:rPr>
                <w:rFonts w:hint="default" w:ascii="Arial" w:hAnsi="Arial" w:cs="Arial"/>
                <w:b w:val="0"/>
                <w:bCs w:val="0"/>
                <w:sz w:val="20"/>
                <w:szCs w:val="20"/>
                <w:vertAlign w:val="baseline"/>
                <w:lang w:val="en-US" w:eastAsia="zh-CN"/>
              </w:rPr>
            </w:pPr>
            <w:r>
              <w:rPr>
                <w:rFonts w:hint="eastAsia" w:ascii="Arial" w:hAnsi="Arial" w:cs="Arial"/>
                <w:b w:val="0"/>
                <w:bCs w:val="0"/>
                <w:sz w:val="20"/>
                <w:szCs w:val="20"/>
                <w:vertAlign w:val="baseline"/>
                <w:lang w:val="en-US" w:eastAsia="zh-CN"/>
              </w:rPr>
              <w:t>UE</w:t>
            </w:r>
          </w:p>
        </w:tc>
        <w:tc>
          <w:tcPr>
            <w:tcW w:w="1263" w:type="dxa"/>
            <w:vAlign w:val="center"/>
          </w:tcPr>
          <w:p w14:paraId="6917A44C">
            <w:pPr>
              <w:spacing w:before="120" w:beforeLines="50" w:after="120" w:line="260" w:lineRule="exact"/>
              <w:jc w:val="center"/>
              <w:rPr>
                <w:rFonts w:hint="default" w:ascii="Arial" w:hAnsi="Arial" w:cs="Arial"/>
                <w:b w:val="0"/>
                <w:bCs w:val="0"/>
                <w:sz w:val="20"/>
                <w:szCs w:val="20"/>
                <w:highlight w:val="none"/>
                <w:vertAlign w:val="baseline"/>
                <w:lang w:val="en-US" w:eastAsia="zh-CN"/>
              </w:rPr>
            </w:pPr>
            <w:r>
              <w:rPr>
                <w:rFonts w:hint="eastAsia" w:ascii="Arial" w:hAnsi="Arial" w:cs="Arial"/>
                <w:b w:val="0"/>
                <w:bCs w:val="0"/>
                <w:sz w:val="20"/>
                <w:szCs w:val="20"/>
                <w:highlight w:val="none"/>
                <w:vertAlign w:val="baseline"/>
                <w:lang w:val="en-US" w:eastAsia="zh-CN"/>
              </w:rPr>
              <w:t>OAM</w:t>
            </w:r>
          </w:p>
        </w:tc>
        <w:tc>
          <w:tcPr>
            <w:tcW w:w="1207" w:type="dxa"/>
            <w:vAlign w:val="center"/>
          </w:tcPr>
          <w:p w14:paraId="7DFDB508">
            <w:pPr>
              <w:spacing w:before="120" w:beforeLines="50" w:after="120" w:line="260" w:lineRule="exact"/>
              <w:jc w:val="center"/>
              <w:rPr>
                <w:rFonts w:hint="default" w:ascii="Arial" w:hAnsi="Arial" w:cs="Arial"/>
                <w:b w:val="0"/>
                <w:bCs w:val="0"/>
                <w:sz w:val="20"/>
                <w:szCs w:val="20"/>
                <w:highlight w:val="none"/>
                <w:vertAlign w:val="baseline"/>
                <w:lang w:val="en-US" w:eastAsia="zh-CN"/>
              </w:rPr>
            </w:pPr>
            <w:r>
              <w:rPr>
                <w:rFonts w:hint="eastAsia" w:ascii="Arial" w:hAnsi="Arial" w:cs="Arial"/>
                <w:b w:val="0"/>
                <w:bCs w:val="0"/>
                <w:sz w:val="20"/>
                <w:szCs w:val="20"/>
                <w:highlight w:val="none"/>
                <w:vertAlign w:val="baseline"/>
                <w:lang w:val="en-US" w:eastAsia="zh-CN"/>
              </w:rPr>
              <w:t>UE-&gt;gNB-&gt;OAM</w:t>
            </w:r>
          </w:p>
        </w:tc>
      </w:tr>
    </w:tbl>
    <w:p w14:paraId="44950E31">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QoE measurement, the legacy QoE metrics are transparent for RAN, except for buffer level and playout delay for media start-up. OAM assembles all QoE measurements and forwards to QoE server for application optimization. </w:t>
      </w:r>
    </w:p>
    <w:p w14:paraId="37F99A71">
      <w:pPr>
        <w:spacing w:before="120" w:beforeLines="50" w:after="120" w:line="240" w:lineRule="auto"/>
        <w:rPr>
          <w:rFonts w:hint="default" w:ascii="Arial" w:hAnsi="Arial" w:cs="Arial"/>
          <w:sz w:val="21"/>
          <w:szCs w:val="21"/>
          <w:lang w:val="en-US" w:eastAsia="zh-CN"/>
        </w:rPr>
      </w:pPr>
      <w:r>
        <w:rPr>
          <w:rFonts w:hint="eastAsia" w:ascii="Arial" w:hAnsi="Arial" w:cs="Arial"/>
          <w:b/>
          <w:bCs/>
          <w:sz w:val="21"/>
          <w:szCs w:val="21"/>
          <w:lang w:val="en-US" w:eastAsia="zh-CN"/>
        </w:rPr>
        <w:t>Observation 8: For QoE, the data is produced by UE and consumed by</w:t>
      </w:r>
      <w:r>
        <w:rPr>
          <w:rFonts w:hint="eastAsia" w:ascii="Arial" w:hAnsi="Arial" w:cs="Arial"/>
          <w:b/>
          <w:bCs/>
          <w:sz w:val="21"/>
          <w:szCs w:val="21"/>
          <w:highlight w:val="none"/>
          <w:lang w:val="en-US" w:eastAsia="zh-CN"/>
        </w:rPr>
        <w:t xml:space="preserve"> QoE server</w:t>
      </w:r>
      <w:r>
        <w:rPr>
          <w:rFonts w:hint="eastAsia" w:ascii="Arial" w:hAnsi="Arial" w:cs="Arial"/>
          <w:b/>
          <w:bCs/>
          <w:sz w:val="21"/>
          <w:szCs w:val="21"/>
          <w:lang w:val="en-US" w:eastAsia="zh-CN"/>
        </w:rPr>
        <w:t xml:space="preserve"> or OAM. The data content includes application layer related information for different services, where </w:t>
      </w:r>
      <w:r>
        <w:rPr>
          <w:rFonts w:hint="eastAsia" w:ascii="Arial" w:hAnsi="Arial" w:cs="Arial"/>
          <w:b/>
          <w:bCs/>
          <w:sz w:val="20"/>
          <w:szCs w:val="20"/>
          <w:vertAlign w:val="baseline"/>
          <w:lang w:val="en-US" w:eastAsia="zh-CN"/>
        </w:rPr>
        <w:t>buffer level and playout delay for media start-up</w:t>
      </w:r>
      <w:r>
        <w:rPr>
          <w:rFonts w:hint="eastAsia" w:ascii="Arial" w:hAnsi="Arial" w:cs="Arial"/>
          <w:b/>
          <w:bCs/>
          <w:sz w:val="21"/>
          <w:szCs w:val="21"/>
          <w:lang w:val="en-US" w:eastAsia="zh-CN"/>
        </w:rPr>
        <w:t xml:space="preserve"> are visible for RAN.</w:t>
      </w:r>
    </w:p>
    <w:p w14:paraId="09DF799D">
      <w:pPr>
        <w:spacing w:before="120" w:beforeLines="50" w:after="120" w:line="260" w:lineRule="exact"/>
        <w:rPr>
          <w:rFonts w:hint="default" w:ascii="Arial" w:hAnsi="Arial" w:cs="Arial"/>
          <w:sz w:val="21"/>
          <w:szCs w:val="21"/>
          <w:lang w:val="en-US" w:eastAsia="zh-CN"/>
        </w:rPr>
      </w:pPr>
    </w:p>
    <w:p w14:paraId="426C3264">
      <w:pPr>
        <w:numPr>
          <w:ilvl w:val="0"/>
          <w:numId w:val="10"/>
        </w:numPr>
        <w:spacing w:after="120" w:afterLines="50"/>
        <w:ind w:left="420" w:leftChars="0" w:hanging="420" w:firstLineChars="0"/>
        <w:rPr>
          <w:rFonts w:hint="default" w:ascii="Arial" w:hAnsi="Arial" w:cs="Arial" w:eastAsiaTheme="minorEastAsia"/>
          <w:b/>
          <w:bCs/>
          <w:i/>
          <w:iCs/>
          <w:szCs w:val="21"/>
          <w:lang w:val="en-US" w:eastAsia="zh-CN" w:bidi="ar"/>
        </w:rPr>
      </w:pPr>
      <w:r>
        <w:rPr>
          <w:rFonts w:hint="eastAsia" w:ascii="Arial" w:hAnsi="Arial" w:cs="Arial"/>
          <w:b/>
          <w:bCs/>
          <w:i/>
          <w:iCs/>
          <w:szCs w:val="21"/>
          <w:lang w:val="en-US" w:eastAsia="zh-CN" w:bidi="ar"/>
        </w:rPr>
        <w:t>S</w:t>
      </w:r>
      <w:r>
        <w:rPr>
          <w:rFonts w:hint="eastAsia" w:ascii="Arial" w:hAnsi="Arial" w:cs="Arial" w:eastAsiaTheme="minorEastAsia"/>
          <w:b/>
          <w:bCs/>
          <w:i/>
          <w:iCs/>
          <w:szCs w:val="21"/>
          <w:lang w:val="en-US" w:eastAsia="zh-CN" w:bidi="ar"/>
        </w:rPr>
        <w:t>ensing</w:t>
      </w:r>
    </w:p>
    <w:p w14:paraId="39A0C973">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szCs w:val="21"/>
          <w:lang w:val="en-US" w:eastAsia="zh-CN"/>
        </w:rPr>
        <w:t xml:space="preserve">For sensing scenario, </w:t>
      </w:r>
      <w:r>
        <w:rPr>
          <w:rFonts w:hint="eastAsia" w:ascii="Arial" w:hAnsi="Arial" w:cs="Arial"/>
          <w:szCs w:val="21"/>
        </w:rPr>
        <w:t>6G is expected to support all sensing modes</w:t>
      </w:r>
      <w:r>
        <w:rPr>
          <w:rFonts w:hint="eastAsia" w:ascii="Arial" w:hAnsi="Arial" w:cs="Arial"/>
          <w:szCs w:val="21"/>
          <w:lang w:val="en-US" w:eastAsia="zh-CN"/>
        </w:rPr>
        <w:t xml:space="preserve"> as illustrated in the following figure,</w:t>
      </w:r>
      <w:r>
        <w:rPr>
          <w:rFonts w:hint="eastAsia" w:ascii="Arial" w:hAnsi="Arial" w:cs="Arial"/>
          <w:szCs w:val="21"/>
        </w:rPr>
        <w:t xml:space="preserve"> including both mono-static and bi-static with both TRP and UE involved to explore more use cases </w:t>
      </w:r>
      <w:r>
        <w:rPr>
          <w:rFonts w:hint="eastAsia" w:ascii="Arial" w:hAnsi="Arial" w:cs="Arial"/>
          <w:szCs w:val="21"/>
          <w:lang w:val="en-US" w:eastAsia="zh-CN"/>
        </w:rPr>
        <w:t>for</w:t>
      </w:r>
      <w:r>
        <w:rPr>
          <w:rFonts w:hint="eastAsia" w:ascii="Arial" w:hAnsi="Arial" w:cs="Arial"/>
          <w:szCs w:val="21"/>
        </w:rPr>
        <w:t xml:space="preserve"> improve</w:t>
      </w:r>
      <w:r>
        <w:rPr>
          <w:rFonts w:hint="eastAsia" w:ascii="Arial" w:hAnsi="Arial" w:cs="Arial"/>
          <w:szCs w:val="21"/>
          <w:lang w:val="en-US" w:eastAsia="zh-CN"/>
        </w:rPr>
        <w:t>ment of</w:t>
      </w:r>
      <w:r>
        <w:rPr>
          <w:rFonts w:hint="eastAsia" w:ascii="Arial" w:hAnsi="Arial" w:cs="Arial"/>
          <w:szCs w:val="21"/>
        </w:rPr>
        <w:t xml:space="preserve"> sensing performance.</w:t>
      </w:r>
    </w:p>
    <w:p w14:paraId="3AEBBACE">
      <w:pPr>
        <w:numPr>
          <w:ilvl w:val="-1"/>
          <w:numId w:val="0"/>
        </w:numPr>
        <w:spacing w:before="120" w:beforeLines="50" w:after="120" w:line="240" w:lineRule="auto"/>
        <w:jc w:val="center"/>
      </w:pPr>
      <w:r>
        <w:drawing>
          <wp:inline distT="0" distB="0" distL="114300" distR="114300">
            <wp:extent cx="6049010" cy="1400810"/>
            <wp:effectExtent l="0" t="0" r="889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tretch>
                      <a:fillRect/>
                    </a:stretch>
                  </pic:blipFill>
                  <pic:spPr>
                    <a:xfrm>
                      <a:off x="0" y="0"/>
                      <a:ext cx="6049010" cy="1400810"/>
                    </a:xfrm>
                    <a:prstGeom prst="rect">
                      <a:avLst/>
                    </a:prstGeom>
                    <a:solidFill>
                      <a:schemeClr val="bg1"/>
                    </a:solidFill>
                  </pic:spPr>
                </pic:pic>
              </a:graphicData>
            </a:graphic>
          </wp:inline>
        </w:drawing>
      </w:r>
    </w:p>
    <w:p w14:paraId="10932F3D">
      <w:pPr>
        <w:spacing w:before="120" w:beforeLines="50" w:after="120" w:line="240" w:lineRule="auto"/>
        <w:jc w:val="center"/>
        <w:rPr>
          <w:rFonts w:hint="default" w:eastAsiaTheme="minorEastAsia"/>
          <w:szCs w:val="21"/>
          <w:lang w:val="en-US" w:eastAsia="zh-CN"/>
        </w:rPr>
      </w:pPr>
      <w:r>
        <w:rPr>
          <w:rFonts w:hint="default" w:ascii="Arial" w:hAnsi="Arial" w:cs="Arial"/>
          <w:b/>
          <w:bCs/>
          <w:sz w:val="21"/>
          <w:szCs w:val="21"/>
          <w:lang w:val="en-US" w:eastAsia="zh-CN"/>
        </w:rPr>
        <w:t xml:space="preserve">Figure </w:t>
      </w:r>
      <w:r>
        <w:rPr>
          <w:rFonts w:hint="eastAsia" w:ascii="Arial" w:hAnsi="Arial" w:cs="Arial"/>
          <w:b/>
          <w:bCs/>
          <w:sz w:val="21"/>
          <w:szCs w:val="21"/>
          <w:lang w:val="en-US" w:eastAsia="zh-CN"/>
        </w:rPr>
        <w:t>3</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Sensing mode</w:t>
      </w:r>
    </w:p>
    <w:p w14:paraId="264AD4D2">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In our understanding, the following data types can be considered for sensing service:</w:t>
      </w:r>
    </w:p>
    <w:p w14:paraId="652D3DD7">
      <w:pPr>
        <w:numPr>
          <w:ilvl w:val="0"/>
          <w:numId w:val="11"/>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Sensing raw data</w:t>
      </w:r>
      <w:r>
        <w:rPr>
          <w:rFonts w:hint="eastAsia" w:ascii="Arial" w:hAnsi="Arial" w:cs="Arial"/>
          <w:b w:val="0"/>
          <w:bCs w:val="0"/>
          <w:szCs w:val="21"/>
          <w:lang w:val="en-US" w:eastAsia="zh-CN"/>
        </w:rPr>
        <w:t xml:space="preserve"> </w:t>
      </w:r>
      <w:r>
        <w:rPr>
          <w:rFonts w:hint="default" w:ascii="Arial" w:hAnsi="Arial" w:cs="Arial"/>
          <w:b w:val="0"/>
          <w:bCs w:val="0"/>
          <w:szCs w:val="21"/>
        </w:rPr>
        <w:t>(e.g., IQ data)</w:t>
      </w:r>
      <w:r>
        <w:rPr>
          <w:rFonts w:hint="eastAsia" w:ascii="Arial" w:hAnsi="Arial" w:cs="Arial"/>
          <w:b w:val="0"/>
          <w:bCs w:val="0"/>
          <w:szCs w:val="21"/>
          <w:lang w:val="en-US" w:eastAsia="zh-CN"/>
        </w:rPr>
        <w:t xml:space="preserve">: </w:t>
      </w:r>
      <w:r>
        <w:rPr>
          <w:rFonts w:hint="default" w:ascii="Arial" w:hAnsi="Arial" w:cs="Arial"/>
          <w:b w:val="0"/>
          <w:bCs w:val="0"/>
          <w:szCs w:val="21"/>
        </w:rPr>
        <w:t>It contains all the information obtained by an ISAC system without signal processing</w:t>
      </w:r>
      <w:r>
        <w:rPr>
          <w:rFonts w:hint="eastAsia" w:ascii="Arial" w:hAnsi="Arial" w:cs="Arial"/>
          <w:b w:val="0"/>
          <w:bCs w:val="0"/>
          <w:szCs w:val="21"/>
          <w:lang w:val="en-US" w:eastAsia="zh-CN"/>
        </w:rPr>
        <w:t xml:space="preserve">, including </w:t>
      </w:r>
      <w:r>
        <w:rPr>
          <w:rFonts w:hint="default" w:ascii="Arial" w:hAnsi="Arial" w:cs="Arial"/>
          <w:b w:val="0"/>
          <w:bCs w:val="0"/>
          <w:szCs w:val="21"/>
        </w:rPr>
        <w:t xml:space="preserve">time-domain samples or </w:t>
      </w:r>
      <w:r>
        <w:rPr>
          <w:rFonts w:hint="eastAsia" w:ascii="Arial" w:hAnsi="Arial" w:cs="Arial"/>
          <w:b w:val="0"/>
          <w:bCs w:val="0"/>
          <w:szCs w:val="21"/>
          <w:lang w:eastAsia="zh-CN"/>
        </w:rPr>
        <w:t>sub-carrier-domain</w:t>
      </w:r>
      <w:r>
        <w:rPr>
          <w:rFonts w:hint="default" w:ascii="Arial" w:hAnsi="Arial" w:cs="Arial"/>
          <w:b w:val="0"/>
          <w:bCs w:val="0"/>
          <w:szCs w:val="21"/>
        </w:rPr>
        <w:t xml:space="preserve"> samples of original received signals from each antenna port.</w:t>
      </w:r>
      <w:r>
        <w:rPr>
          <w:rFonts w:hint="eastAsia" w:ascii="Arial" w:hAnsi="Arial" w:cs="Arial"/>
          <w:b w:val="0"/>
          <w:bCs w:val="0"/>
          <w:szCs w:val="21"/>
          <w:lang w:val="en-US" w:eastAsia="zh-CN"/>
        </w:rPr>
        <w:t xml:space="preserve"> </w:t>
      </w:r>
      <w:r>
        <w:rPr>
          <w:rFonts w:hint="eastAsia" w:ascii="Arial" w:hAnsi="Arial" w:cs="Arial"/>
          <w:b w:val="0"/>
          <w:bCs w:val="0"/>
          <w:szCs w:val="21"/>
          <w:highlight w:val="none"/>
          <w:lang w:val="en-US" w:eastAsia="zh-CN"/>
        </w:rPr>
        <w:t>[Data size: GB level]</w:t>
      </w:r>
    </w:p>
    <w:p w14:paraId="50FF32F0">
      <w:pPr>
        <w:numPr>
          <w:ilvl w:val="0"/>
          <w:numId w:val="11"/>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Delay/angular/Doppler spectrum</w:t>
      </w:r>
      <w:r>
        <w:rPr>
          <w:rFonts w:hint="eastAsia" w:ascii="Arial" w:hAnsi="Arial" w:cs="Arial"/>
          <w:b w:val="0"/>
          <w:bCs w:val="0"/>
          <w:szCs w:val="21"/>
          <w:lang w:val="en-US" w:eastAsia="zh-CN"/>
        </w:rPr>
        <w:t xml:space="preserve">: </w:t>
      </w:r>
      <w:r>
        <w:rPr>
          <w:rFonts w:hint="default" w:ascii="Arial" w:hAnsi="Arial" w:cs="Arial"/>
          <w:b w:val="0"/>
          <w:bCs w:val="0"/>
          <w:szCs w:val="21"/>
        </w:rPr>
        <w:t xml:space="preserve">Spectrum </w:t>
      </w:r>
      <w:r>
        <w:rPr>
          <w:rFonts w:hint="eastAsia" w:ascii="Arial" w:hAnsi="Arial" w:cs="Arial"/>
          <w:b w:val="0"/>
          <w:bCs w:val="0"/>
          <w:szCs w:val="21"/>
          <w:lang w:val="en-US" w:eastAsia="zh-CN"/>
        </w:rPr>
        <w:t>is</w:t>
      </w:r>
      <w:r>
        <w:rPr>
          <w:rFonts w:hint="default" w:ascii="Arial" w:hAnsi="Arial" w:cs="Arial"/>
          <w:b w:val="0"/>
          <w:bCs w:val="0"/>
          <w:szCs w:val="21"/>
        </w:rPr>
        <w:t xml:space="preserve"> the first-stage processing </w:t>
      </w:r>
      <w:r>
        <w:rPr>
          <w:rFonts w:hint="eastAsia" w:ascii="Arial" w:hAnsi="Arial" w:cs="Arial"/>
          <w:b w:val="0"/>
          <w:bCs w:val="0"/>
          <w:szCs w:val="21"/>
          <w:lang w:val="en-US" w:eastAsia="zh-CN"/>
        </w:rPr>
        <w:t>output derived</w:t>
      </w:r>
      <w:r>
        <w:rPr>
          <w:rFonts w:hint="default" w:ascii="Arial" w:hAnsi="Arial" w:cs="Arial"/>
          <w:b w:val="0"/>
          <w:bCs w:val="0"/>
          <w:szCs w:val="21"/>
          <w:lang w:val="en-US"/>
        </w:rPr>
        <w:t xml:space="preserve"> from</w:t>
      </w:r>
      <w:r>
        <w:rPr>
          <w:rFonts w:hint="eastAsia" w:ascii="Arial" w:hAnsi="Arial" w:cs="Arial"/>
          <w:b w:val="0"/>
          <w:bCs w:val="0"/>
          <w:szCs w:val="21"/>
          <w:lang w:val="en-US" w:eastAsia="zh-CN"/>
        </w:rPr>
        <w:t xml:space="preserve"> </w:t>
      </w:r>
      <w:r>
        <w:rPr>
          <w:rFonts w:hint="default" w:ascii="Arial" w:hAnsi="Arial" w:cs="Arial"/>
          <w:b w:val="0"/>
          <w:bCs w:val="0"/>
          <w:szCs w:val="21"/>
        </w:rPr>
        <w:t>sensing raw data. It could retain most essential information while significantly reducing data volume compared to the raw data. Delay spectrum, angular spectrum and Doppler spectrum are fundamental for most of the sensing algorithms.</w:t>
      </w:r>
      <w:r>
        <w:rPr>
          <w:rFonts w:hint="eastAsia" w:ascii="Arial" w:hAnsi="Arial" w:cs="Arial"/>
          <w:b w:val="0"/>
          <w:bCs w:val="0"/>
          <w:szCs w:val="21"/>
          <w:lang w:val="en-US" w:eastAsia="zh-CN"/>
        </w:rPr>
        <w:t xml:space="preserve"> </w:t>
      </w:r>
      <w:r>
        <w:rPr>
          <w:rFonts w:hint="eastAsia" w:ascii="Arial" w:hAnsi="Arial" w:cs="Arial"/>
          <w:b w:val="0"/>
          <w:bCs w:val="0"/>
          <w:szCs w:val="21"/>
          <w:highlight w:val="none"/>
          <w:lang w:val="en-US" w:eastAsia="zh-CN"/>
        </w:rPr>
        <w:t>[Data size: hundreds of MB]</w:t>
      </w:r>
    </w:p>
    <w:p w14:paraId="0365E8DB">
      <w:pPr>
        <w:numPr>
          <w:ilvl w:val="0"/>
          <w:numId w:val="11"/>
        </w:numPr>
        <w:spacing w:before="120" w:beforeLines="50" w:after="120" w:line="260" w:lineRule="exact"/>
        <w:ind w:left="840" w:hanging="420"/>
        <w:rPr>
          <w:rFonts w:hint="default" w:ascii="Arial" w:hAnsi="Arial" w:cs="Arial"/>
          <w:b w:val="0"/>
          <w:bCs w:val="0"/>
          <w:szCs w:val="21"/>
        </w:rPr>
      </w:pPr>
      <w:r>
        <w:rPr>
          <w:rFonts w:hint="default" w:ascii="Arial" w:hAnsi="Arial" w:cs="Arial"/>
          <w:b w:val="0"/>
          <w:bCs w:val="0"/>
          <w:szCs w:val="21"/>
        </w:rPr>
        <w:t>Cloud of points</w:t>
      </w:r>
      <w:r>
        <w:rPr>
          <w:rFonts w:hint="eastAsia" w:ascii="Arial" w:hAnsi="Arial" w:cs="Arial"/>
          <w:b w:val="0"/>
          <w:bCs w:val="0"/>
          <w:szCs w:val="21"/>
          <w:lang w:val="en-US" w:eastAsia="zh-CN"/>
        </w:rPr>
        <w:t>: It is</w:t>
      </w:r>
      <w:r>
        <w:rPr>
          <w:rFonts w:hint="default" w:ascii="Arial" w:hAnsi="Arial" w:cs="Arial"/>
          <w:b w:val="0"/>
          <w:bCs w:val="0"/>
          <w:szCs w:val="21"/>
        </w:rPr>
        <w:t xml:space="preserve"> extracted by implementing detection algorithms on delay, angular and Doppler spectrum. This stage typically discards </w:t>
      </w:r>
      <w:r>
        <w:rPr>
          <w:rFonts w:hint="eastAsia" w:ascii="Arial" w:hAnsi="Arial" w:cs="Arial"/>
          <w:b w:val="0"/>
          <w:bCs w:val="0"/>
          <w:szCs w:val="21"/>
          <w:lang w:val="en-US" w:eastAsia="zh-CN"/>
        </w:rPr>
        <w:t>most of the information</w:t>
      </w:r>
      <w:r>
        <w:rPr>
          <w:rFonts w:hint="default" w:ascii="Arial" w:hAnsi="Arial" w:cs="Arial"/>
          <w:b w:val="0"/>
          <w:bCs w:val="0"/>
          <w:szCs w:val="21"/>
        </w:rPr>
        <w:t>,</w:t>
      </w:r>
      <w:r>
        <w:rPr>
          <w:rFonts w:hint="eastAsia" w:ascii="Arial" w:hAnsi="Arial" w:cs="Arial"/>
          <w:b w:val="0"/>
          <w:bCs w:val="0"/>
          <w:szCs w:val="21"/>
          <w:lang w:val="en-US" w:eastAsia="zh-CN"/>
        </w:rPr>
        <w:t xml:space="preserve"> </w:t>
      </w:r>
      <w:r>
        <w:rPr>
          <w:rFonts w:hint="default" w:ascii="Arial" w:hAnsi="Arial" w:cs="Arial"/>
          <w:b w:val="0"/>
          <w:bCs w:val="0"/>
          <w:szCs w:val="21"/>
        </w:rPr>
        <w:t>resulting in a relatively low data volume while preserving critical parameters.</w:t>
      </w:r>
      <w:r>
        <w:rPr>
          <w:rFonts w:hint="eastAsia" w:ascii="Arial" w:hAnsi="Arial" w:cs="Arial"/>
          <w:b w:val="0"/>
          <w:bCs w:val="0"/>
          <w:szCs w:val="21"/>
          <w:lang w:val="en-US" w:eastAsia="zh-CN"/>
        </w:rPr>
        <w:t xml:space="preserve"> </w:t>
      </w:r>
      <w:r>
        <w:rPr>
          <w:rFonts w:hint="eastAsia" w:ascii="Arial" w:hAnsi="Arial" w:cs="Arial"/>
          <w:b w:val="0"/>
          <w:bCs w:val="0"/>
          <w:szCs w:val="21"/>
          <w:highlight w:val="none"/>
          <w:lang w:val="en-US" w:eastAsia="zh-CN"/>
        </w:rPr>
        <w:t>[Data size: tens of KB to tens of MB]</w:t>
      </w:r>
    </w:p>
    <w:p w14:paraId="4BD79CF6">
      <w:pPr>
        <w:numPr>
          <w:ilvl w:val="0"/>
          <w:numId w:val="11"/>
        </w:numPr>
        <w:spacing w:before="120" w:beforeLines="50" w:after="120" w:line="260" w:lineRule="exact"/>
        <w:ind w:left="840" w:hanging="420"/>
        <w:rPr>
          <w:rFonts w:hint="default" w:ascii="Arial" w:hAnsi="Arial" w:cs="Arial"/>
          <w:b w:val="0"/>
          <w:bCs w:val="0"/>
          <w:sz w:val="21"/>
          <w:szCs w:val="21"/>
          <w:lang w:val="en-US" w:eastAsia="zh-CN"/>
        </w:rPr>
      </w:pPr>
      <w:r>
        <w:rPr>
          <w:rFonts w:hint="default" w:ascii="Arial" w:hAnsi="Arial" w:cs="Arial"/>
          <w:b w:val="0"/>
          <w:bCs w:val="0"/>
          <w:szCs w:val="21"/>
        </w:rPr>
        <w:t>Sensing result</w:t>
      </w:r>
      <w:r>
        <w:rPr>
          <w:rFonts w:hint="eastAsia" w:ascii="Arial" w:hAnsi="Arial" w:cs="Arial"/>
          <w:b w:val="0"/>
          <w:bCs w:val="0"/>
          <w:szCs w:val="21"/>
          <w:lang w:val="en-US" w:eastAsia="zh-CN"/>
        </w:rPr>
        <w:t xml:space="preserve">: It </w:t>
      </w:r>
      <w:r>
        <w:rPr>
          <w:rFonts w:hint="default" w:ascii="Arial" w:hAnsi="Arial" w:cs="Arial"/>
          <w:b w:val="0"/>
          <w:bCs w:val="0"/>
          <w:szCs w:val="21"/>
        </w:rPr>
        <w:t xml:space="preserve">is the final output of sensing signal processing. A sensing result is described by target’s attributes, </w:t>
      </w:r>
      <w:r>
        <w:rPr>
          <w:rFonts w:hint="eastAsia" w:ascii="Arial" w:hAnsi="Arial" w:cs="Arial"/>
          <w:b w:val="0"/>
          <w:bCs w:val="0"/>
          <w:szCs w:val="21"/>
          <w:lang w:val="en-US" w:eastAsia="zh-CN"/>
        </w:rPr>
        <w:t>including</w:t>
      </w:r>
      <w:r>
        <w:rPr>
          <w:rFonts w:hint="default" w:ascii="Arial" w:hAnsi="Arial" w:cs="Arial"/>
          <w:b w:val="0"/>
          <w:bCs w:val="0"/>
          <w:szCs w:val="21"/>
        </w:rPr>
        <w:t xml:space="preserve"> location, velocity and type</w:t>
      </w:r>
      <w:r>
        <w:rPr>
          <w:rFonts w:hint="eastAsia" w:ascii="Arial" w:hAnsi="Arial" w:cs="Arial"/>
          <w:b w:val="0"/>
          <w:bCs w:val="0"/>
          <w:szCs w:val="21"/>
          <w:lang w:val="en-US" w:eastAsia="zh-CN"/>
        </w:rPr>
        <w:t>, which</w:t>
      </w:r>
      <w:r>
        <w:rPr>
          <w:rFonts w:hint="default" w:ascii="Arial" w:hAnsi="Arial" w:cs="Arial"/>
          <w:b w:val="0"/>
          <w:bCs w:val="0"/>
          <w:szCs w:val="21"/>
        </w:rPr>
        <w:t xml:space="preserve"> has the lowest data volume.</w:t>
      </w:r>
      <w:r>
        <w:rPr>
          <w:rFonts w:hint="eastAsia" w:ascii="Arial" w:hAnsi="Arial" w:cs="Arial"/>
          <w:b w:val="0"/>
          <w:bCs w:val="0"/>
          <w:szCs w:val="21"/>
          <w:lang w:val="en-US" w:eastAsia="zh-CN"/>
        </w:rPr>
        <w:t xml:space="preserve"> </w:t>
      </w:r>
      <w:r>
        <w:rPr>
          <w:rFonts w:hint="eastAsia" w:ascii="Arial" w:hAnsi="Arial" w:cs="Arial"/>
          <w:b w:val="0"/>
          <w:bCs w:val="0"/>
          <w:szCs w:val="21"/>
          <w:highlight w:val="none"/>
          <w:lang w:val="en-US" w:eastAsia="zh-CN"/>
        </w:rPr>
        <w:t>[Data size: several KB]</w:t>
      </w:r>
    </w:p>
    <w:p w14:paraId="76407F5A">
      <w:pPr>
        <w:numPr>
          <w:ilvl w:val="-1"/>
          <w:numId w:val="0"/>
        </w:num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However, the details of data type, data content, producer and consumer need more RAN1</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inputs for further discussion. Even though, it can be also observed that the </w:t>
      </w:r>
      <w:r>
        <w:rPr>
          <w:rFonts w:hint="eastAsia" w:ascii="Arial" w:hAnsi="Arial" w:cs="Arial"/>
          <w:szCs w:val="21"/>
        </w:rPr>
        <w:t>volume of sensing data is substantial</w:t>
      </w:r>
      <w:r>
        <w:rPr>
          <w:rFonts w:hint="eastAsia" w:ascii="Arial" w:hAnsi="Arial" w:cs="Arial"/>
          <w:b w:val="0"/>
          <w:bCs w:val="0"/>
          <w:sz w:val="21"/>
          <w:szCs w:val="21"/>
          <w:lang w:val="en-US" w:eastAsia="zh-CN"/>
        </w:rPr>
        <w:t>.</w:t>
      </w:r>
    </w:p>
    <w:p w14:paraId="3F8B37EC">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bCs/>
          <w:sz w:val="21"/>
          <w:szCs w:val="21"/>
          <w:lang w:val="en-US" w:eastAsia="zh-CN"/>
        </w:rPr>
        <w:t>Observation 9: RAN1</w:t>
      </w:r>
      <w:r>
        <w:rPr>
          <w:rFonts w:hint="default" w:ascii="Arial" w:hAnsi="Arial" w:cs="Arial"/>
          <w:b/>
          <w:bCs/>
          <w:sz w:val="21"/>
          <w:szCs w:val="21"/>
          <w:lang w:val="en-US" w:eastAsia="zh-CN"/>
        </w:rPr>
        <w:t>’</w:t>
      </w:r>
      <w:r>
        <w:rPr>
          <w:rFonts w:hint="eastAsia" w:ascii="Arial" w:hAnsi="Arial" w:cs="Arial"/>
          <w:b/>
          <w:bCs/>
          <w:sz w:val="21"/>
          <w:szCs w:val="21"/>
          <w:lang w:val="en-US" w:eastAsia="zh-CN"/>
        </w:rPr>
        <w:t>s inputs are needed for the details of data type, data content, producer, consumer of sensing. For now, it can be observed that the data volume of sensing is large.</w:t>
      </w:r>
    </w:p>
    <w:p w14:paraId="6D79F24C">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Based on the above observations, for SON/MDT and QoE, the data is produced by the UE and consumed by gNB, OAM, or QoE server. It can be observed that for SON report and RAN-visible QoE, the data is produced and consumed within RAN side, which is similar to some AI/ML use cases as we analyzed in section 2.1. Therefore, we think that the similar mechanism for AI/ML can be also considered to reuse for RAN-visible QoE and SON report. </w:t>
      </w:r>
    </w:p>
    <w:p w14:paraId="281E3FA1">
      <w:pPr>
        <w:spacing w:before="120" w:beforeLines="50" w:after="120" w:line="260" w:lineRule="exact"/>
        <w:rPr>
          <w:rFonts w:hint="default" w:ascii="Arial" w:hAnsi="Arial" w:cs="Arial"/>
          <w:b/>
          <w:bCs/>
          <w:sz w:val="21"/>
          <w:szCs w:val="21"/>
          <w:highlight w:val="yellow"/>
          <w:lang w:val="en-US" w:eastAsia="zh-CN"/>
        </w:rPr>
      </w:pPr>
      <w:r>
        <w:rPr>
          <w:rFonts w:hint="eastAsia" w:ascii="Arial" w:hAnsi="Arial" w:cs="Arial"/>
          <w:b/>
          <w:bCs/>
          <w:sz w:val="21"/>
          <w:szCs w:val="21"/>
          <w:highlight w:val="none"/>
          <w:lang w:val="en-US" w:eastAsia="zh-CN"/>
        </w:rPr>
        <w:t>Proposal 4: For RAN-visible QoE and SON report, the similar mechanism to AI/ML can be considered since the data is also produced and consumed within RAN side.</w:t>
      </w:r>
    </w:p>
    <w:p w14:paraId="56669A57">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On the other hand, it can be seen that L1/L3 measurement results are collected for logged MDT and immediate MDT and consumed by OAM, while they can be also used for AI/ML use cases, such as beam management and mobility. For this type of data, we think that they can be also stored within RAN side, and shared to OAM for network optimization.</w:t>
      </w:r>
    </w:p>
    <w:p w14:paraId="26321410">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5：For the data such as L1/L3 measurement results which can be used for both MDT and AI/ML, it can be stored within RAN side and shared to OAM for network optimization.</w:t>
      </w:r>
    </w:p>
    <w:p w14:paraId="51A79B5D">
      <w:pPr>
        <w:spacing w:before="120" w:beforeLines="50" w:after="120" w:line="260" w:lineRule="exact"/>
        <w:rPr>
          <w:rFonts w:hint="default" w:ascii="Arial" w:hAnsi="Arial" w:cs="Arial"/>
          <w:b w:val="0"/>
          <w:bCs w:val="0"/>
          <w:sz w:val="21"/>
          <w:szCs w:val="21"/>
          <w:lang w:val="en-US" w:eastAsia="zh-CN"/>
        </w:rPr>
      </w:pPr>
    </w:p>
    <w:p w14:paraId="0487A83F">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val="0"/>
          <w:bCs/>
          <w:sz w:val="28"/>
          <w:szCs w:val="28"/>
          <w:lang w:val="en-US" w:eastAsia="zh-CN"/>
        </w:rPr>
      </w:pPr>
      <w:r>
        <w:rPr>
          <w:rFonts w:hint="eastAsia" w:ascii="Arial" w:hAnsi="Arial" w:cs="Arial"/>
          <w:b w:val="0"/>
          <w:bCs/>
          <w:sz w:val="28"/>
          <w:szCs w:val="28"/>
          <w:lang w:val="en-US" w:eastAsia="zh-CN"/>
        </w:rPr>
        <w:t>2.3 Data collection requirements</w:t>
      </w:r>
    </w:p>
    <w:p w14:paraId="5BB7AAF9">
      <w:p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Based on the above analysis, the collected data can include measurement results (e.g. L1-RSRP, CSI feedback) in air interface, UE trajectory information, UE location information, etc.. In 5G-A, user consent is required for SON/MDT since the UE location information is collected. </w:t>
      </w:r>
    </w:p>
    <w:p w14:paraId="41ACF03B">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However, SA3 agreed that the user consent requirements can be configured by OAM in R18. It means the operator can configure which data requires user consent and which data does not, thereby ensuring 3GPP system is in compliance</w:t>
      </w:r>
      <w:r>
        <w:rPr>
          <w:rFonts w:hint="eastAsia" w:ascii="Arial" w:hAnsi="Arial" w:cs="Arial"/>
          <w:szCs w:val="21"/>
        </w:rPr>
        <w:t xml:space="preserve"> with local laws and regulations</w:t>
      </w:r>
      <w:r>
        <w:rPr>
          <w:rFonts w:hint="eastAsia" w:ascii="Arial" w:hAnsi="Arial" w:cs="Arial"/>
          <w:b w:val="0"/>
          <w:bCs w:val="0"/>
          <w:sz w:val="21"/>
          <w:szCs w:val="21"/>
          <w:lang w:val="en-US" w:eastAsia="zh-CN"/>
        </w:rPr>
        <w:t>. The details are specified in section 4.9 of TS 32.422 [6] and highlighted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B6D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0D45A250">
            <w:pPr>
              <w:pStyle w:val="3"/>
              <w:numPr>
                <w:ilvl w:val="-1"/>
                <w:numId w:val="0"/>
              </w:numPr>
              <w:tabs>
                <w:tab w:val="clear" w:pos="1002"/>
              </w:tabs>
              <w:spacing w:before="120"/>
              <w:ind w:left="0" w:firstLine="0"/>
              <w:rPr>
                <w:rFonts w:ascii="Times New Roman" w:hAnsi="Times New Roman" w:cs="Times New Roman"/>
                <w:sz w:val="22"/>
                <w:szCs w:val="22"/>
              </w:rPr>
            </w:pPr>
            <w:bookmarkStart w:id="0" w:name="_Toc36134386"/>
            <w:bookmarkStart w:id="1" w:name="_Toc44686871"/>
            <w:bookmarkStart w:id="2" w:name="_Toc202531228"/>
            <w:bookmarkStart w:id="3" w:name="_Toc51929210"/>
            <w:bookmarkStart w:id="4" w:name="_Toc155283222"/>
            <w:bookmarkStart w:id="5" w:name="_Toc51928641"/>
            <w:r>
              <w:rPr>
                <w:rFonts w:ascii="Times New Roman" w:hAnsi="Times New Roman" w:cs="Times New Roman"/>
                <w:sz w:val="22"/>
                <w:szCs w:val="22"/>
              </w:rPr>
              <w:t>4.9</w:t>
            </w:r>
            <w:r>
              <w:rPr>
                <w:rFonts w:ascii="Times New Roman" w:hAnsi="Times New Roman" w:cs="Times New Roman"/>
                <w:sz w:val="22"/>
                <w:szCs w:val="22"/>
              </w:rPr>
              <w:tab/>
            </w:r>
            <w:r>
              <w:rPr>
                <w:rFonts w:ascii="Times New Roman" w:hAnsi="Times New Roman" w:cs="Times New Roman"/>
                <w:sz w:val="22"/>
                <w:szCs w:val="22"/>
              </w:rPr>
              <w:t>User consent handling in MDT for NG-RAN</w:t>
            </w:r>
            <w:bookmarkEnd w:id="0"/>
            <w:bookmarkEnd w:id="1"/>
            <w:bookmarkEnd w:id="2"/>
            <w:bookmarkEnd w:id="3"/>
            <w:bookmarkEnd w:id="4"/>
            <w:bookmarkEnd w:id="5"/>
          </w:p>
          <w:p w14:paraId="4370945B">
            <w:pPr>
              <w:pStyle w:val="4"/>
              <w:numPr>
                <w:ilvl w:val="-1"/>
                <w:numId w:val="0"/>
              </w:numPr>
              <w:tabs>
                <w:tab w:val="left" w:pos="432"/>
                <w:tab w:val="left" w:pos="1002"/>
                <w:tab w:val="clear" w:pos="720"/>
              </w:tabs>
              <w:spacing w:before="120"/>
              <w:ind w:left="0" w:firstLine="0"/>
              <w:rPr>
                <w:rFonts w:ascii="Times New Roman" w:hAnsi="Times New Roman" w:cs="Times New Roman"/>
                <w:sz w:val="22"/>
                <w:szCs w:val="21"/>
              </w:rPr>
            </w:pPr>
            <w:bookmarkStart w:id="6" w:name="_CR4_9_1"/>
            <w:bookmarkEnd w:id="6"/>
            <w:bookmarkStart w:id="7" w:name="_Toc155283223"/>
            <w:bookmarkStart w:id="8" w:name="_Toc44686872"/>
            <w:bookmarkStart w:id="9" w:name="_Toc51929211"/>
            <w:bookmarkStart w:id="10" w:name="_Toc36134387"/>
            <w:bookmarkStart w:id="11" w:name="_Toc51928642"/>
            <w:bookmarkStart w:id="12" w:name="_Toc202531229"/>
            <w:r>
              <w:rPr>
                <w:rFonts w:ascii="Times New Roman" w:hAnsi="Times New Roman" w:cs="Times New Roman"/>
                <w:sz w:val="22"/>
                <w:szCs w:val="21"/>
              </w:rPr>
              <w:t>4.9.1</w:t>
            </w:r>
            <w:r>
              <w:rPr>
                <w:rFonts w:ascii="Times New Roman" w:hAnsi="Times New Roman" w:cs="Times New Roman"/>
                <w:sz w:val="22"/>
                <w:szCs w:val="21"/>
              </w:rPr>
              <w:tab/>
            </w:r>
            <w:r>
              <w:rPr>
                <w:rFonts w:ascii="Times New Roman" w:hAnsi="Times New Roman" w:cs="Times New Roman"/>
                <w:sz w:val="22"/>
                <w:szCs w:val="21"/>
              </w:rPr>
              <w:t>Signalling based MDT</w:t>
            </w:r>
            <w:bookmarkEnd w:id="7"/>
            <w:bookmarkEnd w:id="8"/>
            <w:bookmarkEnd w:id="9"/>
            <w:bookmarkEnd w:id="10"/>
            <w:bookmarkEnd w:id="11"/>
            <w:bookmarkEnd w:id="12"/>
          </w:p>
          <w:p w14:paraId="1E8E6F18">
            <w:pPr>
              <w:spacing w:after="60"/>
              <w:rPr>
                <w:rFonts w:ascii="Times New Roman" w:hAnsi="Times New Roman" w:cs="Times New Roman"/>
              </w:rPr>
            </w:pPr>
            <w:r>
              <w:rPr>
                <w:rFonts w:ascii="Times New Roman" w:hAnsi="Times New Roman" w:cs="Times New Roman"/>
              </w:rPr>
              <w:t xml:space="preserve">In case of signalling based MDT, getting user consent before activating the MDT functionality is required because of privacy and legal obligations. It is the Operator’s responsibility to collect user consent before initiating an MDT for a specific IMSI, IMEI number or SUPI. </w:t>
            </w:r>
          </w:p>
          <w:p w14:paraId="5948A56A">
            <w:pPr>
              <w:spacing w:after="60"/>
              <w:rPr>
                <w:rFonts w:ascii="Times New Roman" w:hAnsi="Times New Roman" w:cs="Times New Roman"/>
              </w:rPr>
            </w:pPr>
            <w:r>
              <w:rPr>
                <w:rFonts w:ascii="Times New Roman" w:hAnsi="Times New Roman" w:cs="Times New Roman"/>
              </w:rPr>
              <w:t>Collecting the user consent shall be done via customer care process. The user consent information availability should be considered as part of the subscription data and as such this shall be provisioned in the UDM database.</w:t>
            </w:r>
          </w:p>
          <w:p w14:paraId="52FEA81A">
            <w:pPr>
              <w:spacing w:after="60"/>
              <w:rPr>
                <w:rFonts w:ascii="Times New Roman" w:hAnsi="Times New Roman" w:cs="Times New Roman"/>
              </w:rPr>
            </w:pPr>
            <w:r>
              <w:rPr>
                <w:rFonts w:ascii="Times New Roman" w:hAnsi="Times New Roman" w:cs="Times New Roman"/>
              </w:rPr>
              <w:t>The following figure summarizes the functionality.</w:t>
            </w:r>
          </w:p>
          <w:p w14:paraId="70EB6867">
            <w:pPr>
              <w:pStyle w:val="26"/>
              <w:rPr>
                <w:rFonts w:ascii="Times New Roman" w:hAnsi="Times New Roman" w:cs="Times New Roman"/>
              </w:rPr>
            </w:pPr>
            <w:r>
              <w:drawing>
                <wp:inline distT="0" distB="0" distL="114300" distR="114300">
                  <wp:extent cx="6129655" cy="3439160"/>
                  <wp:effectExtent l="0" t="0" r="4445" b="889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8"/>
                          <a:stretch>
                            <a:fillRect/>
                          </a:stretch>
                        </pic:blipFill>
                        <pic:spPr>
                          <a:xfrm>
                            <a:off x="0" y="0"/>
                            <a:ext cx="6120765" cy="3442970"/>
                          </a:xfrm>
                          <a:prstGeom prst="rect">
                            <a:avLst/>
                          </a:prstGeom>
                          <a:noFill/>
                          <a:ln>
                            <a:noFill/>
                          </a:ln>
                          <a:effectLst/>
                        </pic:spPr>
                      </pic:pic>
                    </a:graphicData>
                  </a:graphic>
                </wp:inline>
              </w:drawing>
            </w:r>
            <w:bookmarkStart w:id="13" w:name="_CRFigure4_9_1_1"/>
            <w:r>
              <w:rPr>
                <w:rFonts w:ascii="Times New Roman" w:hAnsi="Times New Roman" w:cs="Times New Roman"/>
              </w:rPr>
              <w:t xml:space="preserve">Figure </w:t>
            </w:r>
            <w:bookmarkEnd w:id="13"/>
            <w:r>
              <w:rPr>
                <w:rFonts w:ascii="Times New Roman" w:hAnsi="Times New Roman" w:cs="Times New Roman"/>
              </w:rPr>
              <w:t>4.9.1.1: Example for delivering user consent information in signalling based MDT</w:t>
            </w:r>
          </w:p>
          <w:p w14:paraId="6682C67D">
            <w:pPr>
              <w:pStyle w:val="28"/>
              <w:spacing w:after="60"/>
              <w:ind w:left="0" w:leftChars="0" w:firstLine="0"/>
              <w:rPr>
                <w:rFonts w:ascii="Times New Roman" w:hAnsi="Times New Roman" w:cs="Times New Roman"/>
              </w:rPr>
            </w:pPr>
            <w:r>
              <w:rPr>
                <w:rFonts w:ascii="Times New Roman" w:hAnsi="Times New Roman" w:cs="Times New Roman"/>
              </w:rPr>
              <w:t xml:space="preserve">When the IMSI/IMEI(SV)/SUPI based MDT is activated, it is targeted the UDM. </w:t>
            </w:r>
          </w:p>
          <w:p w14:paraId="7144BA49">
            <w:pPr>
              <w:pStyle w:val="28"/>
              <w:spacing w:after="60"/>
              <w:ind w:left="0" w:leftChars="0" w:firstLine="0"/>
              <w:rPr>
                <w:rFonts w:ascii="Times New Roman" w:hAnsi="Times New Roman" w:cs="Times New Roman"/>
              </w:rPr>
            </w:pPr>
            <w:r>
              <w:rPr>
                <w:rFonts w:ascii="Times New Roman" w:hAnsi="Times New Roman" w:cs="Times New Roman"/>
              </w:rPr>
              <w:t xml:space="preserve">The </w:t>
            </w:r>
            <w:r>
              <w:rPr>
                <w:rFonts w:ascii="Times New Roman" w:hAnsi="Times New Roman" w:cs="Times New Roman"/>
                <w:lang w:eastAsia="zh-CN"/>
              </w:rPr>
              <w:t xml:space="preserve">UDM shall check the </w:t>
            </w:r>
            <w:r>
              <w:rPr>
                <w:rFonts w:ascii="Times New Roman" w:hAnsi="Times New Roman" w:cs="Times New Roman"/>
                <w:highlight w:val="yellow"/>
                <w:lang w:eastAsia="zh-CN"/>
              </w:rPr>
              <w:t xml:space="preserve">MDT user consent </w:t>
            </w:r>
            <w:r>
              <w:rPr>
                <w:rFonts w:ascii="Times New Roman" w:hAnsi="Times New Roman" w:cs="Times New Roman"/>
                <w:highlight w:val="yellow"/>
              </w:rPr>
              <w:t xml:space="preserve">requirements </w:t>
            </w:r>
            <w:r>
              <w:rPr>
                <w:rFonts w:ascii="Times New Roman" w:hAnsi="Times New Roman" w:cs="Times New Roman"/>
                <w:highlight w:val="yellow"/>
                <w:lang w:eastAsia="zh-CN"/>
              </w:rPr>
              <w:t>configured by OAM</w:t>
            </w:r>
            <w:r>
              <w:rPr>
                <w:rFonts w:ascii="Times New Roman" w:hAnsi="Times New Roman" w:cs="Times New Roman"/>
                <w:lang w:eastAsia="zh-CN"/>
              </w:rPr>
              <w:t xml:space="preserve">. </w:t>
            </w:r>
            <w:r>
              <w:rPr>
                <w:rFonts w:ascii="Times New Roman" w:hAnsi="Times New Roman" w:cs="Times New Roman"/>
              </w:rPr>
              <w:t xml:space="preserve">If one or more </w:t>
            </w:r>
            <w:r>
              <w:rPr>
                <w:rFonts w:ascii="Times New Roman" w:hAnsi="Times New Roman" w:cs="Times New Roman"/>
                <w:lang w:eastAsia="zh-CN"/>
              </w:rPr>
              <w:t xml:space="preserve">MDT measurement name(s) is/are specified in MDT activation, </w:t>
            </w:r>
            <w:r>
              <w:rPr>
                <w:rFonts w:ascii="Times New Roman" w:hAnsi="Times New Roman" w:cs="Times New Roman"/>
              </w:rPr>
              <w:t>the UDM shall:</w:t>
            </w:r>
          </w:p>
          <w:p w14:paraId="63A78EE8">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For user-consent-required MDT measurement name(s), start a Trace Session for the given subscriber if the user consent is available. </w:t>
            </w:r>
          </w:p>
          <w:p w14:paraId="2E22347F">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For user-consent-required MDT measurement name(s), not start a Trace Session for the given subscriber if the user consent is not available. </w:t>
            </w:r>
          </w:p>
          <w:p w14:paraId="30DAF5C6">
            <w:pPr>
              <w:pStyle w:val="28"/>
              <w:spacing w:after="60"/>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highlight w:val="yellow"/>
              </w:rPr>
              <w:t>For user-consent-not-required MDT measurement name(s), start a Trace Session for the given subscriber without</w:t>
            </w:r>
            <w:r>
              <w:rPr>
                <w:rFonts w:ascii="Times New Roman" w:hAnsi="Times New Roman" w:cs="Times New Roman"/>
                <w:highlight w:val="yellow"/>
                <w:lang w:eastAsia="zh-CN"/>
              </w:rPr>
              <w:t xml:space="preserve"> considering user consent</w:t>
            </w:r>
            <w:r>
              <w:rPr>
                <w:rFonts w:ascii="Times New Roman" w:hAnsi="Times New Roman" w:cs="Times New Roman"/>
              </w:rPr>
              <w:t>.</w:t>
            </w:r>
          </w:p>
          <w:p w14:paraId="05A5AE52">
            <w:pPr>
              <w:pStyle w:val="28"/>
              <w:spacing w:after="60"/>
              <w:ind w:left="0" w:firstLine="0"/>
              <w:rPr>
                <w:rFonts w:hint="default" w:ascii="Times New Roman" w:hAnsi="Times New Roman" w:cs="Times New Roman" w:eastAsiaTheme="minorEastAsia"/>
                <w:lang w:val="en-US" w:eastAsia="zh-CN"/>
              </w:rPr>
            </w:pPr>
            <w:r>
              <w:rPr>
                <w:rFonts w:hint="eastAsia" w:ascii="Times New Roman" w:hAnsi="Times New Roman" w:cs="Times New Roman"/>
                <w:i/>
                <w:iCs/>
                <w:lang w:val="en-US" w:eastAsia="zh-CN"/>
              </w:rPr>
              <w:t>&lt;omitted&gt;</w:t>
            </w:r>
          </w:p>
        </w:tc>
      </w:tr>
    </w:tbl>
    <w:p w14:paraId="6D675753">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bCs/>
          <w:sz w:val="21"/>
          <w:szCs w:val="21"/>
          <w:lang w:val="en-US" w:eastAsia="zh-CN"/>
        </w:rPr>
        <w:t>Observation 10: In 5G-A, MDT user consent can be configured by OAM</w:t>
      </w:r>
      <w:r>
        <w:rPr>
          <w:rFonts w:hint="default" w:ascii="Arial" w:hAnsi="Arial" w:cs="Arial"/>
          <w:b/>
          <w:bCs/>
          <w:sz w:val="21"/>
          <w:szCs w:val="21"/>
          <w:lang w:val="en-US" w:eastAsia="zh-CN"/>
        </w:rPr>
        <w:t>.</w:t>
      </w:r>
    </w:p>
    <w:p w14:paraId="27184657">
      <w:pPr>
        <w:spacing w:before="120" w:beforeLines="50" w:after="120" w:line="260" w:lineRule="exact"/>
        <w:rPr>
          <w:rFonts w:hint="default" w:ascii="Arial" w:hAnsi="Arial" w:cs="Arial"/>
          <w:b/>
          <w:bCs/>
          <w:sz w:val="21"/>
          <w:szCs w:val="21"/>
          <w:lang w:val="en-US" w:eastAsia="zh-CN"/>
        </w:rPr>
      </w:pPr>
      <w:r>
        <w:rPr>
          <w:rFonts w:hint="eastAsia" w:ascii="Arial" w:hAnsi="Arial" w:cs="Arial"/>
          <w:b w:val="0"/>
          <w:bCs w:val="0"/>
          <w:sz w:val="21"/>
          <w:szCs w:val="21"/>
          <w:lang w:val="en-US" w:eastAsia="zh-CN"/>
        </w:rPr>
        <w:t>Given the large amount of data collected in 6G, requiring user consent for all collected data will significantly prolong the time for network optimization, AI service provision and 6G commercial deployment. Therefore, it is expected to discuss which kind of data really requires user consent. In 6G, t</w:t>
      </w:r>
      <w:r>
        <w:rPr>
          <w:rFonts w:hint="eastAsia" w:ascii="Arial" w:hAnsi="Arial" w:cs="Arial"/>
          <w:szCs w:val="21"/>
        </w:rPr>
        <w:t>he same principle</w:t>
      </w:r>
      <w:r>
        <w:rPr>
          <w:rFonts w:hint="eastAsia" w:ascii="Arial" w:hAnsi="Arial" w:cs="Arial"/>
          <w:szCs w:val="21"/>
          <w:lang w:val="en-US" w:eastAsia="zh-CN"/>
        </w:rPr>
        <w:t xml:space="preserve"> in 5G-A</w:t>
      </w:r>
      <w:r>
        <w:rPr>
          <w:rFonts w:hint="eastAsia" w:ascii="Arial" w:hAnsi="Arial" w:cs="Arial"/>
          <w:szCs w:val="21"/>
        </w:rPr>
        <w:t xml:space="preserve"> </w:t>
      </w:r>
      <w:r>
        <w:rPr>
          <w:rFonts w:hint="eastAsia" w:ascii="Arial" w:hAnsi="Arial" w:cs="Arial"/>
          <w:szCs w:val="21"/>
          <w:lang w:eastAsia="zh-CN"/>
        </w:rPr>
        <w:t>s</w:t>
      </w:r>
      <w:r>
        <w:rPr>
          <w:rFonts w:hint="eastAsia" w:ascii="Arial" w:hAnsi="Arial" w:cs="Arial"/>
          <w:szCs w:val="21"/>
          <w:lang w:val="en-US" w:eastAsia="zh-CN"/>
        </w:rPr>
        <w:t>hould</w:t>
      </w:r>
      <w:r>
        <w:rPr>
          <w:rFonts w:hint="eastAsia" w:ascii="Arial" w:hAnsi="Arial" w:cs="Arial"/>
          <w:szCs w:val="21"/>
        </w:rPr>
        <w:t xml:space="preserve"> be followed that user consent can be configured by OAM.</w:t>
      </w:r>
    </w:p>
    <w:p w14:paraId="32DFA313">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6：6G follows 5G-A mechanism that MDT user consent can be configured by OAM</w:t>
      </w:r>
      <w:r>
        <w:rPr>
          <w:rFonts w:hint="default" w:ascii="Arial" w:hAnsi="Arial" w:cs="Arial"/>
          <w:b/>
          <w:bCs/>
          <w:sz w:val="21"/>
          <w:szCs w:val="21"/>
          <w:lang w:val="en-US" w:eastAsia="zh-CN"/>
        </w:rPr>
        <w:t>.</w:t>
      </w:r>
    </w:p>
    <w:p w14:paraId="6D43EDAA">
      <w:pPr>
        <w:spacing w:before="120" w:beforeLines="50" w:after="120" w:line="260" w:lineRule="exact"/>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In our understanding, the user consent should be respected for UE privacy information (e.g. UE location), but it is unnecessary for legacy L1/L3 measurement results in air interface since they can be obtained within the existing RAN framework without user consent actually. </w:t>
      </w:r>
    </w:p>
    <w:p w14:paraId="1AC8E6AB">
      <w:pPr>
        <w:spacing w:before="120" w:beforeLines="50" w:after="120" w:line="260" w:lineRule="exact"/>
        <w:rPr>
          <w:rFonts w:hint="eastAsia" w:ascii="Arial" w:hAnsi="Arial" w:cs="Arial"/>
          <w:b/>
          <w:bCs/>
          <w:sz w:val="21"/>
          <w:szCs w:val="21"/>
          <w:lang w:val="en-US" w:eastAsia="zh-CN"/>
        </w:rPr>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7</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For UE location information, the user consent should be respected. However, for the measurement results in air interface, it is unnecessary to require user consent</w:t>
      </w:r>
      <w:r>
        <w:rPr>
          <w:rFonts w:hint="default" w:ascii="Arial" w:hAnsi="Arial" w:cs="Arial"/>
          <w:b/>
          <w:bCs/>
          <w:sz w:val="21"/>
          <w:szCs w:val="21"/>
          <w:lang w:val="en-US" w:eastAsia="zh-CN"/>
        </w:rPr>
        <w:t>.</w:t>
      </w:r>
    </w:p>
    <w:p w14:paraId="57A69B24">
      <w:pPr>
        <w:keepNext w:val="0"/>
        <w:keepLines w:val="0"/>
        <w:widowControl/>
        <w:pBdr>
          <w:top w:val="none" w:color="auto" w:sz="0" w:space="0"/>
        </w:pBdr>
        <w:spacing w:before="0" w:after="0"/>
        <w:ind w:left="0" w:firstLine="0"/>
        <w:jc w:val="left"/>
        <w:outlineLvl w:val="9"/>
        <w:rPr>
          <w:rFonts w:ascii="Arial" w:hAnsi="Arial" w:eastAsia="宋体" w:cs="Arial"/>
          <w:kern w:val="0"/>
          <w:sz w:val="36"/>
          <w:szCs w:val="20"/>
          <w:lang w:val="en-GB" w:eastAsia="en-US"/>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 xml:space="preserve">proposals for </w:t>
      </w:r>
      <w:r>
        <w:rPr>
          <w:rFonts w:hint="eastAsia" w:ascii="Arial" w:hAnsi="Arial" w:eastAsia="宋体" w:cs="Arial"/>
          <w:kern w:val="0"/>
          <w:sz w:val="21"/>
          <w:szCs w:val="21"/>
          <w:lang w:val="en-US" w:eastAsia="zh-CN"/>
        </w:rPr>
        <w:t xml:space="preserve">AI/ML framework and </w:t>
      </w:r>
      <w:r>
        <w:rPr>
          <w:rFonts w:hint="eastAsia" w:ascii="Arial" w:hAnsi="Arial" w:eastAsia="宋体" w:cs="Arial"/>
          <w:kern w:val="0"/>
          <w:sz w:val="21"/>
          <w:szCs w:val="21"/>
        </w:rPr>
        <w:t>data collection</w:t>
      </w:r>
      <w:r>
        <w:rPr>
          <w:rFonts w:hint="eastAsia" w:ascii="Arial" w:hAnsi="Arial" w:eastAsia="宋体" w:cs="Arial"/>
          <w:kern w:val="0"/>
          <w:sz w:val="21"/>
          <w:szCs w:val="21"/>
          <w:lang w:val="en-US" w:eastAsia="zh-CN"/>
        </w:rPr>
        <w:t xml:space="preserve"> in 6G</w:t>
      </w:r>
      <w:r>
        <w:rPr>
          <w:rFonts w:ascii="Arial" w:hAnsi="Arial" w:eastAsia="宋体" w:cs="Arial"/>
          <w:kern w:val="0"/>
          <w:sz w:val="21"/>
          <w:szCs w:val="21"/>
          <w:lang w:val="en-GB" w:eastAsia="en-US"/>
        </w:rPr>
        <w:t>.</w:t>
      </w:r>
    </w:p>
    <w:p w14:paraId="13F17742">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 For use cases with UE-sided model (e.g. beam management), the data can be produced by the UE, and consumed by UE-side OTT server for model training, or by gNB for inference reporting and monitoring. The typical data content includes L1 measurement results.</w:t>
      </w:r>
    </w:p>
    <w:p w14:paraId="73605DE4">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2: For use cases with gNB-sided model (e.g. beam management), the data can be produced by the UE, and consumed by gNB/OAM for model training, or by gNB for inference and monitoring. The typical data content includes L1 measurement results.</w:t>
      </w:r>
    </w:p>
    <w:p w14:paraId="2B1756E5">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3: For use cases with LMF-sided model (e.g. positioning), the data can be produced by the UE or gNB, and consumed by LMF for model training, inference and monitoring. The typical data content includes positioning measurement results and UE location information.</w:t>
      </w:r>
    </w:p>
    <w:p w14:paraId="1C4192D9">
      <w:pPr>
        <w:spacing w:before="120" w:beforeLines="50" w:after="120" w:line="260" w:lineRule="exact"/>
        <w:rPr>
          <w:rFonts w:hint="default" w:ascii="Arial" w:hAnsi="Arial" w:cs="Arial"/>
          <w:sz w:val="21"/>
          <w:szCs w:val="21"/>
          <w:lang w:val="en-US" w:eastAsia="zh-CN"/>
        </w:rPr>
      </w:pPr>
      <w:r>
        <w:rPr>
          <w:rFonts w:hint="eastAsia" w:ascii="Arial" w:hAnsi="Arial" w:cs="Arial"/>
          <w:b/>
          <w:bCs/>
          <w:sz w:val="21"/>
          <w:szCs w:val="21"/>
          <w:lang w:val="en-US" w:eastAsia="zh-CN"/>
        </w:rPr>
        <w:t>Observation 4: For use cases with two-sided model (e.g. CSI compression), the data can be produced by UE and consumed by gNB for model training, inference and monitoring, the dataset and/or model parameters can be produced by gNB and consumed by UE-side OTT server for model training. The typical data content includes target CSI.</w:t>
      </w:r>
    </w:p>
    <w:p w14:paraId="0A845AD1">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5: AI/ML data collection termination points (i.e. data producer and consumer) can be various for different use cases and LCM procedures, e.g. UE&lt;-&gt;UE-side OTT server, UE&lt;-&gt;gNB, UE&lt;-&gt;OAM, UE&lt;-&gt;LMF, gNB&lt;-&gt;LMF, gNB&lt;-&gt;UE-side OTT server. The typical data content includes L1/L3 measurement results, CSI information, positioning information, etc..</w:t>
      </w:r>
    </w:p>
    <w:p w14:paraId="676058F5">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1: RAN2 study the use cases and potential mechanisms for data terminated in RAN.</w:t>
      </w:r>
    </w:p>
    <w:p w14:paraId="1195EBF7">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2: It is proposed to study the potential solutions for AI/ML data and model transfer.</w:t>
      </w:r>
    </w:p>
    <w:p w14:paraId="6BCAC656">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1: Extend RRC message size</w:t>
      </w:r>
      <w:r>
        <w:rPr>
          <w:rFonts w:hint="eastAsia" w:ascii="Arial" w:hAnsi="Arial" w:cs="Arial"/>
          <w:b/>
          <w:bCs/>
          <w:szCs w:val="21"/>
        </w:rPr>
        <w:t>, including UL and DL</w:t>
      </w:r>
    </w:p>
    <w:p w14:paraId="7AD37C7C">
      <w:pPr>
        <w:spacing w:before="120" w:beforeLines="50" w:after="120" w:line="260" w:lineRule="exact"/>
        <w:ind w:leftChars="100"/>
        <w:rPr>
          <w:rFonts w:hint="default" w:ascii="Arial" w:hAnsi="Arial" w:cs="Arial"/>
          <w:b/>
          <w:bCs/>
          <w:sz w:val="21"/>
          <w:szCs w:val="21"/>
          <w:lang w:val="en-US" w:eastAsia="zh-CN"/>
        </w:rPr>
      </w:pPr>
      <w:r>
        <w:rPr>
          <w:rFonts w:hint="eastAsia" w:ascii="Arial" w:hAnsi="Arial" w:cs="Arial"/>
          <w:b/>
          <w:bCs/>
          <w:sz w:val="21"/>
          <w:szCs w:val="21"/>
          <w:lang w:val="en-US" w:eastAsia="zh-CN"/>
        </w:rPr>
        <w:t>- Option 2: Introduce a new radio bearer which is terminated between UE and base station</w:t>
      </w:r>
    </w:p>
    <w:p w14:paraId="1F9A39BD">
      <w:pPr>
        <w:spacing w:before="120" w:beforeLines="50" w:after="120" w:line="260" w:lineRule="exact"/>
        <w:rPr>
          <w:rFonts w:hint="default" w:ascii="Arial" w:hAnsi="Arial" w:cs="Arial"/>
          <w:b/>
          <w:bCs/>
          <w:szCs w:val="21"/>
          <w:lang w:val="en-US" w:eastAsia="zh-CN" w:bidi="ar"/>
        </w:rPr>
      </w:pPr>
      <w:r>
        <w:rPr>
          <w:rFonts w:hint="eastAsia" w:ascii="Arial" w:hAnsi="Arial" w:cs="Arial"/>
          <w:b/>
          <w:bCs/>
          <w:szCs w:val="21"/>
          <w:lang w:val="en-US" w:eastAsia="zh-CN" w:bidi="ar"/>
        </w:rPr>
        <w:t xml:space="preserve">Observation 6: For the given use case, the same data produced by the UE can be used for both UE-sided model training and NW-sided model training, e.g. </w:t>
      </w:r>
      <w:r>
        <w:rPr>
          <w:rFonts w:hint="eastAsia" w:ascii="Arial" w:hAnsi="Arial" w:cs="Arial"/>
          <w:b/>
          <w:bCs/>
          <w:szCs w:val="21"/>
          <w:lang w:bidi="ar"/>
        </w:rPr>
        <w:t>L1-RSRPs and/or beam-IDs</w:t>
      </w:r>
      <w:r>
        <w:rPr>
          <w:rFonts w:hint="eastAsia" w:ascii="Arial" w:hAnsi="Arial" w:cs="Arial"/>
          <w:b/>
          <w:bCs/>
          <w:szCs w:val="21"/>
          <w:lang w:val="en-US" w:eastAsia="zh-CN" w:bidi="ar"/>
        </w:rPr>
        <w:t xml:space="preserve"> for beam management, consumed by RAN and OTT server respectively.</w:t>
      </w:r>
    </w:p>
    <w:p w14:paraId="7BC76DCA">
      <w:pPr>
        <w:numPr>
          <w:ilvl w:val="0"/>
          <w:numId w:val="0"/>
        </w:num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Proposal 3: 6G RAN should maintain its own data repository, where data collected and used within RAN side can be stored and managed. Furthermore, the data can be shared to different data consumers (e.g. OAM, CN, UE-side OTT server) if needed.</w:t>
      </w:r>
    </w:p>
    <w:p w14:paraId="2FAC94A3">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lang w:val="en-US" w:eastAsia="zh-CN"/>
        </w:rPr>
        <w:t>Observation 7: For SON/MDT, data can be produced by the UE and consumed by gNB or OAM. The typical data includes UE location, L1/L3 measurements, RLF report, RACH report, etc..</w:t>
      </w:r>
    </w:p>
    <w:p w14:paraId="0C3A1299">
      <w:pPr>
        <w:spacing w:before="120" w:beforeLines="50" w:after="120" w:line="240" w:lineRule="auto"/>
        <w:rPr>
          <w:rFonts w:hint="default" w:ascii="Arial" w:hAnsi="Arial" w:cs="Arial"/>
          <w:sz w:val="21"/>
          <w:szCs w:val="21"/>
          <w:lang w:val="en-US" w:eastAsia="zh-CN"/>
        </w:rPr>
      </w:pPr>
      <w:r>
        <w:rPr>
          <w:rFonts w:hint="eastAsia" w:ascii="Arial" w:hAnsi="Arial" w:cs="Arial"/>
          <w:b/>
          <w:bCs/>
          <w:sz w:val="21"/>
          <w:szCs w:val="21"/>
          <w:lang w:val="en-US" w:eastAsia="zh-CN"/>
        </w:rPr>
        <w:t xml:space="preserve">Observation 8: For QoE, the data is produced by UE and consumed by </w:t>
      </w:r>
      <w:r>
        <w:rPr>
          <w:rFonts w:hint="eastAsia" w:ascii="Arial" w:hAnsi="Arial" w:cs="Arial"/>
          <w:b/>
          <w:bCs/>
          <w:sz w:val="21"/>
          <w:szCs w:val="21"/>
          <w:highlight w:val="none"/>
          <w:lang w:val="en-US" w:eastAsia="zh-CN"/>
        </w:rPr>
        <w:t>QoE server</w:t>
      </w:r>
      <w:r>
        <w:rPr>
          <w:rFonts w:hint="eastAsia" w:ascii="Arial" w:hAnsi="Arial" w:cs="Arial"/>
          <w:b/>
          <w:bCs/>
          <w:sz w:val="21"/>
          <w:szCs w:val="21"/>
          <w:lang w:val="en-US" w:eastAsia="zh-CN"/>
        </w:rPr>
        <w:t xml:space="preserve"> or OAM. The data content includes application layer related information for different services, where </w:t>
      </w:r>
      <w:r>
        <w:rPr>
          <w:rFonts w:hint="eastAsia" w:ascii="Arial" w:hAnsi="Arial" w:cs="Arial"/>
          <w:b/>
          <w:bCs/>
          <w:sz w:val="20"/>
          <w:szCs w:val="20"/>
          <w:vertAlign w:val="baseline"/>
          <w:lang w:val="en-US" w:eastAsia="zh-CN"/>
        </w:rPr>
        <w:t>buffer level and playout delay for media start-up</w:t>
      </w:r>
      <w:r>
        <w:rPr>
          <w:rFonts w:hint="eastAsia" w:ascii="Arial" w:hAnsi="Arial" w:cs="Arial"/>
          <w:b/>
          <w:bCs/>
          <w:sz w:val="21"/>
          <w:szCs w:val="21"/>
          <w:lang w:val="en-US" w:eastAsia="zh-CN"/>
        </w:rPr>
        <w:t xml:space="preserve"> are visible for RAN.</w:t>
      </w:r>
    </w:p>
    <w:p w14:paraId="2D2168E4">
      <w:pPr>
        <w:numPr>
          <w:ilvl w:val="0"/>
          <w:numId w:val="0"/>
        </w:numPr>
        <w:spacing w:before="120" w:beforeLines="50" w:after="120" w:line="260" w:lineRule="exact"/>
        <w:rPr>
          <w:rFonts w:hint="default" w:ascii="Arial" w:hAnsi="Arial" w:cs="Arial"/>
          <w:b w:val="0"/>
          <w:bCs w:val="0"/>
          <w:sz w:val="21"/>
          <w:szCs w:val="21"/>
          <w:lang w:val="en-US" w:eastAsia="zh-CN"/>
        </w:rPr>
      </w:pPr>
      <w:r>
        <w:rPr>
          <w:rFonts w:hint="eastAsia" w:ascii="Arial" w:hAnsi="Arial" w:cs="Arial"/>
          <w:b/>
          <w:bCs/>
          <w:sz w:val="21"/>
          <w:szCs w:val="21"/>
          <w:lang w:val="en-US" w:eastAsia="zh-CN"/>
        </w:rPr>
        <w:t>Observation 9: RAN1</w:t>
      </w:r>
      <w:r>
        <w:rPr>
          <w:rFonts w:hint="default" w:ascii="Arial" w:hAnsi="Arial" w:cs="Arial"/>
          <w:b/>
          <w:bCs/>
          <w:sz w:val="21"/>
          <w:szCs w:val="21"/>
          <w:lang w:val="en-US" w:eastAsia="zh-CN"/>
        </w:rPr>
        <w:t>’</w:t>
      </w:r>
      <w:r>
        <w:rPr>
          <w:rFonts w:hint="eastAsia" w:ascii="Arial" w:hAnsi="Arial" w:cs="Arial"/>
          <w:b/>
          <w:bCs/>
          <w:sz w:val="21"/>
          <w:szCs w:val="21"/>
          <w:lang w:val="en-US" w:eastAsia="zh-CN"/>
        </w:rPr>
        <w:t>s inputs are needed for the details of data type, data content, producer, consumer of sensing. For now, it can be observed that the data volume of sensing is large.</w:t>
      </w:r>
    </w:p>
    <w:p w14:paraId="289BA18A">
      <w:pPr>
        <w:spacing w:before="120" w:beforeLines="50" w:after="120" w:line="260" w:lineRule="exact"/>
        <w:rPr>
          <w:rFonts w:hint="eastAsia" w:ascii="Arial" w:hAnsi="Arial" w:cs="Arial"/>
          <w:b/>
          <w:bCs/>
          <w:sz w:val="21"/>
          <w:szCs w:val="21"/>
          <w:lang w:val="en-US" w:eastAsia="zh-CN"/>
        </w:rPr>
      </w:pPr>
      <w:r>
        <w:rPr>
          <w:rFonts w:hint="eastAsia" w:ascii="Arial" w:hAnsi="Arial" w:cs="Arial"/>
          <w:b/>
          <w:bCs/>
          <w:sz w:val="21"/>
          <w:szCs w:val="21"/>
          <w:highlight w:val="none"/>
          <w:lang w:val="en-US" w:eastAsia="zh-CN"/>
        </w:rPr>
        <w:t>Proposal 4: For RAN-visible QoE and SON report, the similar mechanism to AI/ML can be considered since the data is also produced and consumed within RAN side.</w:t>
      </w:r>
    </w:p>
    <w:p w14:paraId="5DB1B568">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5：For the data such as L1/L3 measurement results which can be used for both MDT and AI/ML, it can be stored within RAN side and shared to OAM for network optimization.</w:t>
      </w:r>
    </w:p>
    <w:p w14:paraId="539A6104">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Observation 10: In 5G-A, MDT user consent can be configured by OAM</w:t>
      </w:r>
      <w:r>
        <w:rPr>
          <w:rFonts w:hint="default" w:ascii="Arial" w:hAnsi="Arial" w:cs="Arial"/>
          <w:b/>
          <w:bCs/>
          <w:sz w:val="21"/>
          <w:szCs w:val="21"/>
          <w:lang w:val="en-US" w:eastAsia="zh-CN"/>
        </w:rPr>
        <w:t>.</w:t>
      </w:r>
    </w:p>
    <w:p w14:paraId="0977EDCE">
      <w:pPr>
        <w:spacing w:before="120" w:beforeLines="50" w:after="120" w:line="260" w:lineRule="exact"/>
        <w:rPr>
          <w:rFonts w:hint="default" w:ascii="Arial" w:hAnsi="Arial" w:cs="Arial"/>
          <w:b/>
          <w:bCs/>
          <w:sz w:val="21"/>
          <w:szCs w:val="21"/>
          <w:lang w:val="en-US" w:eastAsia="zh-CN"/>
        </w:rPr>
      </w:pPr>
      <w:r>
        <w:rPr>
          <w:rFonts w:hint="eastAsia" w:ascii="Arial" w:hAnsi="Arial" w:cs="Arial"/>
          <w:b/>
          <w:bCs/>
          <w:sz w:val="21"/>
          <w:szCs w:val="21"/>
          <w:lang w:val="en-US" w:eastAsia="zh-CN"/>
        </w:rPr>
        <w:t>Proposal 6：6G follows 5G-A mechanism that MDT user consent can be configured by OAM</w:t>
      </w:r>
      <w:r>
        <w:rPr>
          <w:rFonts w:hint="default" w:ascii="Arial" w:hAnsi="Arial" w:cs="Arial"/>
          <w:b/>
          <w:bCs/>
          <w:sz w:val="21"/>
          <w:szCs w:val="21"/>
          <w:lang w:val="en-US" w:eastAsia="zh-CN"/>
        </w:rPr>
        <w:t>.</w:t>
      </w:r>
    </w:p>
    <w:p w14:paraId="0DF12783">
      <w:pPr>
        <w:spacing w:before="120" w:beforeLines="50" w:after="120" w:line="260" w:lineRule="exact"/>
        <w:rPr>
          <w:rFonts w:hint="eastAsia" w:ascii="Arial" w:hAnsi="Arial" w:cs="Arial"/>
          <w:b/>
          <w:bCs/>
          <w:sz w:val="21"/>
          <w:szCs w:val="21"/>
          <w:lang w:val="en-US" w:eastAsia="zh-CN"/>
        </w:rPr>
      </w:pPr>
      <w:r>
        <w:rPr>
          <w:rFonts w:hint="default" w:ascii="Arial" w:hAnsi="Arial" w:cs="Arial"/>
          <w:b/>
          <w:bCs/>
          <w:sz w:val="21"/>
          <w:szCs w:val="21"/>
          <w:lang w:val="en-US" w:eastAsia="zh-CN"/>
        </w:rPr>
        <w:t xml:space="preserve">Proposal </w:t>
      </w:r>
      <w:r>
        <w:rPr>
          <w:rFonts w:hint="eastAsia" w:ascii="Arial" w:hAnsi="Arial" w:cs="Arial"/>
          <w:b/>
          <w:bCs/>
          <w:sz w:val="21"/>
          <w:szCs w:val="21"/>
          <w:lang w:val="en-US" w:eastAsia="zh-CN"/>
        </w:rPr>
        <w:t>7</w:t>
      </w:r>
      <w:r>
        <w:rPr>
          <w:rFonts w:hint="default" w:ascii="Arial" w:hAnsi="Arial" w:cs="Arial"/>
          <w:b/>
          <w:bCs/>
          <w:sz w:val="21"/>
          <w:szCs w:val="21"/>
          <w:lang w:val="en-US" w:eastAsia="zh-CN"/>
        </w:rPr>
        <w:t xml:space="preserve">: </w:t>
      </w:r>
      <w:r>
        <w:rPr>
          <w:rFonts w:hint="eastAsia" w:ascii="Arial" w:hAnsi="Arial" w:cs="Arial"/>
          <w:b/>
          <w:bCs/>
          <w:sz w:val="21"/>
          <w:szCs w:val="21"/>
          <w:lang w:val="en-US" w:eastAsia="zh-CN"/>
        </w:rPr>
        <w:t>For UE location information, the user consent should be respected. However, for the measurement results in air interface, it is unnecessary to require user consent</w:t>
      </w:r>
      <w:r>
        <w:rPr>
          <w:rFonts w:hint="default" w:ascii="Arial" w:hAnsi="Arial" w:cs="Arial"/>
          <w:b/>
          <w:bCs/>
          <w:sz w:val="21"/>
          <w:szCs w:val="21"/>
          <w:lang w:val="en-US" w:eastAsia="zh-CN"/>
        </w:rPr>
        <w:t>.</w:t>
      </w:r>
      <w:r>
        <w:rPr>
          <w:rFonts w:hint="eastAsia" w:ascii="Arial" w:hAnsi="Arial" w:cs="Arial"/>
          <w:b/>
          <w:bCs/>
          <w:sz w:val="21"/>
          <w:szCs w:val="21"/>
          <w:lang w:val="en-US" w:eastAsia="zh-CN"/>
        </w:rPr>
        <w:t xml:space="preserve"> </w:t>
      </w: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3F70FCA1">
      <w:pPr>
        <w:widowControl/>
        <w:numPr>
          <w:ilvl w:val="0"/>
          <w:numId w:val="12"/>
        </w:numPr>
        <w:overflowPunct w:val="0"/>
        <w:autoSpaceDE w:val="0"/>
        <w:autoSpaceDN w:val="0"/>
        <w:adjustRightInd w:val="0"/>
        <w:spacing w:after="180"/>
        <w:jc w:val="left"/>
        <w:textAlignment w:val="baseline"/>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R2_131bis_ChairNotes</w:t>
      </w:r>
    </w:p>
    <w:p w14:paraId="2BBC0218">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TR 38.843 Study on Artificial Intelligence (AI)/Machine Learning (ML) for NR air interface</w:t>
      </w:r>
    </w:p>
    <w:p w14:paraId="3167E1D4">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R1-2310681</w:t>
      </w:r>
      <w:r>
        <w:rPr>
          <w:rFonts w:hint="eastAsia" w:ascii="Arial" w:hAnsi="Arial" w:eastAsia="宋体" w:cs="Arial"/>
          <w:kern w:val="0"/>
          <w:sz w:val="21"/>
          <w:szCs w:val="21"/>
          <w:lang w:val="en-US" w:eastAsia="zh-CN"/>
        </w:rPr>
        <w:t xml:space="preserve"> Reply LS on Data Collection Requirements and Assumptions</w:t>
      </w:r>
    </w:p>
    <w:p w14:paraId="34078F87">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bookmarkStart w:id="14" w:name="_Hlk183130922"/>
      <w:r>
        <w:rPr>
          <w:rFonts w:hint="eastAsia" w:ascii="Arial" w:hAnsi="Arial" w:eastAsia="宋体" w:cs="Arial"/>
          <w:kern w:val="0"/>
          <w:sz w:val="21"/>
          <w:szCs w:val="21"/>
          <w:lang w:val="en-US" w:eastAsia="zh-CN"/>
        </w:rPr>
        <w:t xml:space="preserve">R1-2410922 </w:t>
      </w:r>
      <w:r>
        <w:rPr>
          <w:rFonts w:ascii="Arial" w:hAnsi="Arial" w:eastAsia="宋体" w:cs="Arial"/>
          <w:kern w:val="0"/>
          <w:sz w:val="21"/>
          <w:szCs w:val="21"/>
          <w:lang w:val="en-GB" w:eastAsia="en-US"/>
        </w:rPr>
        <w:t>LS on signalling feasibility of dataset and parameter sharing</w:t>
      </w:r>
      <w:bookmarkEnd w:id="14"/>
    </w:p>
    <w:p w14:paraId="4F46C87C">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highlight w:val="none"/>
          <w:lang w:val="en-GB" w:eastAsia="en-US"/>
        </w:rPr>
      </w:pPr>
      <w:r>
        <w:rPr>
          <w:rFonts w:hint="eastAsia" w:ascii="Arial" w:hAnsi="Arial" w:eastAsia="宋体" w:cs="Arial"/>
          <w:kern w:val="0"/>
          <w:sz w:val="21"/>
          <w:szCs w:val="21"/>
          <w:highlight w:val="none"/>
          <w:lang w:val="en-GB" w:eastAsia="en-US"/>
        </w:rPr>
        <w:t>TR 38.890</w:t>
      </w:r>
      <w:r>
        <w:rPr>
          <w:rFonts w:hint="eastAsia" w:ascii="Arial" w:hAnsi="Arial" w:eastAsia="宋体" w:cs="Arial"/>
          <w:kern w:val="0"/>
          <w:sz w:val="21"/>
          <w:szCs w:val="21"/>
          <w:highlight w:val="none"/>
          <w:lang w:val="en-US" w:eastAsia="zh-CN"/>
        </w:rPr>
        <w:t xml:space="preserve"> Study on NR QoE (Quality of Experience) management and optimizations for diverse services</w:t>
      </w:r>
    </w:p>
    <w:p w14:paraId="1F2E0AD2">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 xml:space="preserve">TS 32.422 </w:t>
      </w:r>
      <w:r>
        <w:rPr>
          <w:rFonts w:hint="eastAsia" w:ascii="Arial" w:hAnsi="Arial" w:eastAsia="宋体" w:cs="Arial"/>
          <w:kern w:val="0"/>
          <w:szCs w:val="21"/>
        </w:rPr>
        <w:t>Telecommunication management;</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Subscriber and equipment trace;</w:t>
      </w:r>
      <w:r>
        <w:rPr>
          <w:rFonts w:hint="eastAsia" w:ascii="Arial" w:hAnsi="Arial" w:eastAsia="宋体" w:cs="Arial"/>
          <w:kern w:val="0"/>
          <w:szCs w:val="21"/>
          <w:lang w:val="en-US" w:eastAsia="zh-CN"/>
        </w:rPr>
        <w:t xml:space="preserve"> </w:t>
      </w:r>
      <w:r>
        <w:rPr>
          <w:rFonts w:hint="eastAsia" w:ascii="Arial" w:hAnsi="Arial" w:eastAsia="宋体" w:cs="Arial"/>
          <w:kern w:val="0"/>
          <w:szCs w:val="21"/>
        </w:rPr>
        <w:t>Trace control and configuration management</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Aptos">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B91901"/>
    <w:multiLevelType w:val="singleLevel"/>
    <w:tmpl w:val="D5B91901"/>
    <w:lvl w:ilvl="0" w:tentative="0">
      <w:start w:val="1"/>
      <w:numFmt w:val="bullet"/>
      <w:lvlText w:val=""/>
      <w:lvlJc w:val="left"/>
      <w:pPr>
        <w:ind w:left="420" w:hanging="420"/>
      </w:pPr>
      <w:rPr>
        <w:rFonts w:hint="default" w:ascii="Wingdings" w:hAnsi="Wingdings"/>
      </w:rPr>
    </w:lvl>
  </w:abstractNum>
  <w:abstractNum w:abstractNumId="1">
    <w:nsid w:val="FB5D132D"/>
    <w:multiLevelType w:val="singleLevel"/>
    <w:tmpl w:val="FB5D132D"/>
    <w:lvl w:ilvl="0" w:tentative="0">
      <w:start w:val="1"/>
      <w:numFmt w:val="bullet"/>
      <w:lvlText w:val=""/>
      <w:lvlJc w:val="left"/>
      <w:pPr>
        <w:tabs>
          <w:tab w:val="left" w:pos="420"/>
        </w:tabs>
        <w:ind w:left="840" w:leftChars="0" w:hanging="420" w:firstLineChars="0"/>
      </w:pPr>
      <w:rPr>
        <w:rFonts w:hint="default" w:ascii="Wingdings" w:hAnsi="Wingdings"/>
        <w:sz w:val="16"/>
      </w:rPr>
    </w:lvl>
  </w:abstractNum>
  <w:abstractNum w:abstractNumId="2">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333FB39"/>
    <w:multiLevelType w:val="singleLevel"/>
    <w:tmpl w:val="1333FB39"/>
    <w:lvl w:ilvl="0" w:tentative="0">
      <w:start w:val="1"/>
      <w:numFmt w:val="bullet"/>
      <w:lvlText w:val=""/>
      <w:lvlJc w:val="left"/>
      <w:pPr>
        <w:ind w:left="420" w:hanging="420"/>
      </w:pPr>
      <w:rPr>
        <w:rFonts w:hint="default" w:ascii="Wingdings" w:hAnsi="Wingdings"/>
      </w:rPr>
    </w:lvl>
  </w:abstractNum>
  <w:abstractNum w:abstractNumId="4">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6">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50BED944"/>
    <w:multiLevelType w:val="singleLevel"/>
    <w:tmpl w:val="50BED944"/>
    <w:lvl w:ilvl="0" w:tentative="0">
      <w:start w:val="1"/>
      <w:numFmt w:val="decimal"/>
      <w:lvlText w:val="%1"/>
      <w:lvlJc w:val="left"/>
    </w:lvl>
  </w:abstractNum>
  <w:abstractNum w:abstractNumId="8">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71B16FC4"/>
    <w:multiLevelType w:val="multilevel"/>
    <w:tmpl w:val="71B16FC4"/>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1">
    <w:nsid w:val="7D3E7AC3"/>
    <w:multiLevelType w:val="multilevel"/>
    <w:tmpl w:val="7D3E7AC3"/>
    <w:lvl w:ilvl="0" w:tentative="0">
      <w:start w:val="0"/>
      <w:numFmt w:val="bullet"/>
      <w:lvlText w:val="-"/>
      <w:lvlJc w:val="left"/>
      <w:pPr>
        <w:ind w:left="1979" w:hanging="360"/>
      </w:pPr>
      <w:rPr>
        <w:rFonts w:hint="default" w:ascii="Aptos" w:hAnsi="Aptos" w:eastAsiaTheme="minorEastAsia"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num w:numId="1">
    <w:abstractNumId w:val="6"/>
  </w:num>
  <w:num w:numId="2">
    <w:abstractNumId w:val="2"/>
  </w:num>
  <w:num w:numId="3">
    <w:abstractNumId w:val="9"/>
  </w:num>
  <w:num w:numId="4">
    <w:abstractNumId w:val="8"/>
  </w:num>
  <w:num w:numId="5">
    <w:abstractNumId w:val="7"/>
  </w:num>
  <w:num w:numId="6">
    <w:abstractNumId w:val="10"/>
  </w:num>
  <w:num w:numId="7">
    <w:abstractNumId w:val="11"/>
  </w:num>
  <w:num w:numId="8">
    <w:abstractNumId w:val="4"/>
  </w:num>
  <w:num w:numId="9">
    <w:abstractNumId w:val="3"/>
  </w:num>
  <w:num w:numId="10">
    <w:abstractNumId w:val="0"/>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799E"/>
    <w:rsid w:val="00894A29"/>
    <w:rsid w:val="008A5A0B"/>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4519A3"/>
    <w:rsid w:val="01474FCB"/>
    <w:rsid w:val="014944D2"/>
    <w:rsid w:val="016C5974"/>
    <w:rsid w:val="016E658B"/>
    <w:rsid w:val="01840FB9"/>
    <w:rsid w:val="0185426A"/>
    <w:rsid w:val="019A01ED"/>
    <w:rsid w:val="019A524E"/>
    <w:rsid w:val="01A0498E"/>
    <w:rsid w:val="01A574CF"/>
    <w:rsid w:val="01A60C1B"/>
    <w:rsid w:val="01B24556"/>
    <w:rsid w:val="01CF32DE"/>
    <w:rsid w:val="01DE1CE0"/>
    <w:rsid w:val="01E966BF"/>
    <w:rsid w:val="021A0958"/>
    <w:rsid w:val="022E7DE4"/>
    <w:rsid w:val="02395107"/>
    <w:rsid w:val="0293045C"/>
    <w:rsid w:val="029B08C6"/>
    <w:rsid w:val="02A041DE"/>
    <w:rsid w:val="02A424C3"/>
    <w:rsid w:val="02AF46C6"/>
    <w:rsid w:val="02B05971"/>
    <w:rsid w:val="02B71025"/>
    <w:rsid w:val="02BC3A62"/>
    <w:rsid w:val="02EB09CE"/>
    <w:rsid w:val="02EC3784"/>
    <w:rsid w:val="02FA6D08"/>
    <w:rsid w:val="0300491B"/>
    <w:rsid w:val="030E32B0"/>
    <w:rsid w:val="03190295"/>
    <w:rsid w:val="032B663A"/>
    <w:rsid w:val="034F533A"/>
    <w:rsid w:val="036A39B8"/>
    <w:rsid w:val="03877AE8"/>
    <w:rsid w:val="038A1F16"/>
    <w:rsid w:val="03AE74FA"/>
    <w:rsid w:val="03DF70E9"/>
    <w:rsid w:val="03E34199"/>
    <w:rsid w:val="03EC428C"/>
    <w:rsid w:val="03FC5419"/>
    <w:rsid w:val="03FE4273"/>
    <w:rsid w:val="041A101A"/>
    <w:rsid w:val="041D6583"/>
    <w:rsid w:val="041E2800"/>
    <w:rsid w:val="04525A53"/>
    <w:rsid w:val="04580C5A"/>
    <w:rsid w:val="045D2E23"/>
    <w:rsid w:val="0475505E"/>
    <w:rsid w:val="04861CA0"/>
    <w:rsid w:val="04A12BB9"/>
    <w:rsid w:val="04A37BF0"/>
    <w:rsid w:val="04C46F80"/>
    <w:rsid w:val="04C752EC"/>
    <w:rsid w:val="04D47A02"/>
    <w:rsid w:val="04F25DBA"/>
    <w:rsid w:val="04F46CEE"/>
    <w:rsid w:val="04FD5053"/>
    <w:rsid w:val="052159E9"/>
    <w:rsid w:val="054134AD"/>
    <w:rsid w:val="05515807"/>
    <w:rsid w:val="055E39C7"/>
    <w:rsid w:val="056C27CB"/>
    <w:rsid w:val="0571089C"/>
    <w:rsid w:val="058844D8"/>
    <w:rsid w:val="059A3C03"/>
    <w:rsid w:val="05AD7C3D"/>
    <w:rsid w:val="05B81468"/>
    <w:rsid w:val="05B92B80"/>
    <w:rsid w:val="05C91D28"/>
    <w:rsid w:val="05CC288F"/>
    <w:rsid w:val="05D37F8D"/>
    <w:rsid w:val="05D639A0"/>
    <w:rsid w:val="05DD1BF0"/>
    <w:rsid w:val="05FA06DD"/>
    <w:rsid w:val="05FB3716"/>
    <w:rsid w:val="061355E6"/>
    <w:rsid w:val="06221253"/>
    <w:rsid w:val="063A49AE"/>
    <w:rsid w:val="064F5C41"/>
    <w:rsid w:val="06571B8E"/>
    <w:rsid w:val="06845927"/>
    <w:rsid w:val="068960C6"/>
    <w:rsid w:val="06942140"/>
    <w:rsid w:val="069766D8"/>
    <w:rsid w:val="069A65B0"/>
    <w:rsid w:val="06EA3869"/>
    <w:rsid w:val="06EB297F"/>
    <w:rsid w:val="06F44776"/>
    <w:rsid w:val="071830B3"/>
    <w:rsid w:val="07232B13"/>
    <w:rsid w:val="072E12A5"/>
    <w:rsid w:val="072E4FA9"/>
    <w:rsid w:val="07404B50"/>
    <w:rsid w:val="07474730"/>
    <w:rsid w:val="07554650"/>
    <w:rsid w:val="075F5104"/>
    <w:rsid w:val="076362C7"/>
    <w:rsid w:val="07653415"/>
    <w:rsid w:val="076C6DBD"/>
    <w:rsid w:val="076E6440"/>
    <w:rsid w:val="07826F65"/>
    <w:rsid w:val="079F7BD5"/>
    <w:rsid w:val="07AC698C"/>
    <w:rsid w:val="07B27A2E"/>
    <w:rsid w:val="07BA03C9"/>
    <w:rsid w:val="07CC0B7F"/>
    <w:rsid w:val="07D3465C"/>
    <w:rsid w:val="07D4495C"/>
    <w:rsid w:val="08077668"/>
    <w:rsid w:val="080B0E60"/>
    <w:rsid w:val="08241B14"/>
    <w:rsid w:val="08346E32"/>
    <w:rsid w:val="083C306C"/>
    <w:rsid w:val="083D4534"/>
    <w:rsid w:val="083E559C"/>
    <w:rsid w:val="084F3982"/>
    <w:rsid w:val="08675800"/>
    <w:rsid w:val="0870581B"/>
    <w:rsid w:val="08950021"/>
    <w:rsid w:val="08AD097E"/>
    <w:rsid w:val="08BD2F14"/>
    <w:rsid w:val="08C3044A"/>
    <w:rsid w:val="08CB51D0"/>
    <w:rsid w:val="08D80E0C"/>
    <w:rsid w:val="08FE04F3"/>
    <w:rsid w:val="090715AF"/>
    <w:rsid w:val="09085B92"/>
    <w:rsid w:val="09230B8A"/>
    <w:rsid w:val="093223D0"/>
    <w:rsid w:val="09414F75"/>
    <w:rsid w:val="094470AB"/>
    <w:rsid w:val="094E0A7E"/>
    <w:rsid w:val="09516CF9"/>
    <w:rsid w:val="095A6DFD"/>
    <w:rsid w:val="095E3F14"/>
    <w:rsid w:val="0990373C"/>
    <w:rsid w:val="09926330"/>
    <w:rsid w:val="09A24612"/>
    <w:rsid w:val="09AD7F7C"/>
    <w:rsid w:val="09B92009"/>
    <w:rsid w:val="09BB3ACA"/>
    <w:rsid w:val="09C411E9"/>
    <w:rsid w:val="09CB252F"/>
    <w:rsid w:val="09CB44E8"/>
    <w:rsid w:val="09D63199"/>
    <w:rsid w:val="09F124DC"/>
    <w:rsid w:val="09F8719E"/>
    <w:rsid w:val="0A083644"/>
    <w:rsid w:val="0A0C359D"/>
    <w:rsid w:val="0A103B20"/>
    <w:rsid w:val="0A1469F1"/>
    <w:rsid w:val="0A173D8A"/>
    <w:rsid w:val="0A280898"/>
    <w:rsid w:val="0A373271"/>
    <w:rsid w:val="0A382873"/>
    <w:rsid w:val="0A477D88"/>
    <w:rsid w:val="0A4852FE"/>
    <w:rsid w:val="0A5115B7"/>
    <w:rsid w:val="0A594268"/>
    <w:rsid w:val="0A78659D"/>
    <w:rsid w:val="0A7B4003"/>
    <w:rsid w:val="0A7F6693"/>
    <w:rsid w:val="0AA35EAE"/>
    <w:rsid w:val="0AAC7074"/>
    <w:rsid w:val="0AB622D1"/>
    <w:rsid w:val="0AC05F3D"/>
    <w:rsid w:val="0AD57C75"/>
    <w:rsid w:val="0ADE2342"/>
    <w:rsid w:val="0AE21792"/>
    <w:rsid w:val="0AF33383"/>
    <w:rsid w:val="0AF55015"/>
    <w:rsid w:val="0AFD0EBC"/>
    <w:rsid w:val="0B054A96"/>
    <w:rsid w:val="0B11078A"/>
    <w:rsid w:val="0B3643CE"/>
    <w:rsid w:val="0B5417C7"/>
    <w:rsid w:val="0B5F0EEF"/>
    <w:rsid w:val="0B7946AA"/>
    <w:rsid w:val="0B7E0D69"/>
    <w:rsid w:val="0B7E67EB"/>
    <w:rsid w:val="0B944661"/>
    <w:rsid w:val="0B96175E"/>
    <w:rsid w:val="0BB66944"/>
    <w:rsid w:val="0BB81E48"/>
    <w:rsid w:val="0BBD7E79"/>
    <w:rsid w:val="0BC53AB3"/>
    <w:rsid w:val="0BE427FA"/>
    <w:rsid w:val="0BF550E1"/>
    <w:rsid w:val="0C1038E8"/>
    <w:rsid w:val="0C202296"/>
    <w:rsid w:val="0C415301"/>
    <w:rsid w:val="0C4853AF"/>
    <w:rsid w:val="0C4E032C"/>
    <w:rsid w:val="0C5466CF"/>
    <w:rsid w:val="0C6C1EE0"/>
    <w:rsid w:val="0C7F3E15"/>
    <w:rsid w:val="0C8E4170"/>
    <w:rsid w:val="0C9F4C9D"/>
    <w:rsid w:val="0CC053C2"/>
    <w:rsid w:val="0CC05689"/>
    <w:rsid w:val="0CC16303"/>
    <w:rsid w:val="0CC949B4"/>
    <w:rsid w:val="0CD5224C"/>
    <w:rsid w:val="0CDB6FDB"/>
    <w:rsid w:val="0CE47224"/>
    <w:rsid w:val="0CED527E"/>
    <w:rsid w:val="0D362C45"/>
    <w:rsid w:val="0D711EBE"/>
    <w:rsid w:val="0D771EA7"/>
    <w:rsid w:val="0D914B16"/>
    <w:rsid w:val="0DA728AC"/>
    <w:rsid w:val="0DAD175B"/>
    <w:rsid w:val="0DB22432"/>
    <w:rsid w:val="0DBB0266"/>
    <w:rsid w:val="0DDF12DC"/>
    <w:rsid w:val="0DE11C21"/>
    <w:rsid w:val="0DE14E46"/>
    <w:rsid w:val="0E034A3B"/>
    <w:rsid w:val="0E2557C4"/>
    <w:rsid w:val="0E3D4FDF"/>
    <w:rsid w:val="0E4A09D7"/>
    <w:rsid w:val="0E56201A"/>
    <w:rsid w:val="0E6E3C34"/>
    <w:rsid w:val="0E811F50"/>
    <w:rsid w:val="0E9D7CB7"/>
    <w:rsid w:val="0EAF327B"/>
    <w:rsid w:val="0EC02D91"/>
    <w:rsid w:val="0EE52C9E"/>
    <w:rsid w:val="0EEB1D0A"/>
    <w:rsid w:val="0F194E44"/>
    <w:rsid w:val="0F1D748A"/>
    <w:rsid w:val="0F2E3BBB"/>
    <w:rsid w:val="0F4C5227"/>
    <w:rsid w:val="0F4E079B"/>
    <w:rsid w:val="0F501F1A"/>
    <w:rsid w:val="0F694230"/>
    <w:rsid w:val="0F6A2368"/>
    <w:rsid w:val="0F732504"/>
    <w:rsid w:val="0F782620"/>
    <w:rsid w:val="0F8A7784"/>
    <w:rsid w:val="0F8C51E0"/>
    <w:rsid w:val="0F8E6766"/>
    <w:rsid w:val="0FB25952"/>
    <w:rsid w:val="0FC264EA"/>
    <w:rsid w:val="0FC803F4"/>
    <w:rsid w:val="0FCE7E1C"/>
    <w:rsid w:val="10090A65"/>
    <w:rsid w:val="105534DB"/>
    <w:rsid w:val="1081433D"/>
    <w:rsid w:val="108B22CD"/>
    <w:rsid w:val="10A53F3B"/>
    <w:rsid w:val="10AC6F3F"/>
    <w:rsid w:val="10C31C47"/>
    <w:rsid w:val="10C64AE7"/>
    <w:rsid w:val="10E107B7"/>
    <w:rsid w:val="10E7792B"/>
    <w:rsid w:val="10F04644"/>
    <w:rsid w:val="11003973"/>
    <w:rsid w:val="110171B2"/>
    <w:rsid w:val="11082369"/>
    <w:rsid w:val="11171B9A"/>
    <w:rsid w:val="111F30A5"/>
    <w:rsid w:val="112505F6"/>
    <w:rsid w:val="11433163"/>
    <w:rsid w:val="114C0310"/>
    <w:rsid w:val="1168681B"/>
    <w:rsid w:val="117D375C"/>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C6826"/>
    <w:rsid w:val="125F6C10"/>
    <w:rsid w:val="12816B14"/>
    <w:rsid w:val="12934DEA"/>
    <w:rsid w:val="12A73823"/>
    <w:rsid w:val="12B04029"/>
    <w:rsid w:val="12BD5E5F"/>
    <w:rsid w:val="12DA4242"/>
    <w:rsid w:val="12E27FD3"/>
    <w:rsid w:val="12F46AB8"/>
    <w:rsid w:val="12F65938"/>
    <w:rsid w:val="12FF3CC2"/>
    <w:rsid w:val="130A48C3"/>
    <w:rsid w:val="131E6426"/>
    <w:rsid w:val="132303DD"/>
    <w:rsid w:val="1331496D"/>
    <w:rsid w:val="13392934"/>
    <w:rsid w:val="135167B1"/>
    <w:rsid w:val="13583AE1"/>
    <w:rsid w:val="1358580E"/>
    <w:rsid w:val="135A6265"/>
    <w:rsid w:val="135F47E3"/>
    <w:rsid w:val="136A73BB"/>
    <w:rsid w:val="136F4921"/>
    <w:rsid w:val="13742A14"/>
    <w:rsid w:val="137D5F29"/>
    <w:rsid w:val="139327D8"/>
    <w:rsid w:val="13A44AF4"/>
    <w:rsid w:val="13A46671"/>
    <w:rsid w:val="13B72F07"/>
    <w:rsid w:val="13C36563"/>
    <w:rsid w:val="13D36FA4"/>
    <w:rsid w:val="13FA68E0"/>
    <w:rsid w:val="13FB17D6"/>
    <w:rsid w:val="14256000"/>
    <w:rsid w:val="1448292D"/>
    <w:rsid w:val="144C19CC"/>
    <w:rsid w:val="144D01EF"/>
    <w:rsid w:val="145B2FFC"/>
    <w:rsid w:val="1466786F"/>
    <w:rsid w:val="147A5BFE"/>
    <w:rsid w:val="147E654B"/>
    <w:rsid w:val="14A668A4"/>
    <w:rsid w:val="14A9029F"/>
    <w:rsid w:val="14B83431"/>
    <w:rsid w:val="14E836E8"/>
    <w:rsid w:val="14F142C3"/>
    <w:rsid w:val="150B6FBF"/>
    <w:rsid w:val="15111B9F"/>
    <w:rsid w:val="152B1104"/>
    <w:rsid w:val="152F25BA"/>
    <w:rsid w:val="154A66B0"/>
    <w:rsid w:val="156F4137"/>
    <w:rsid w:val="159C7EDD"/>
    <w:rsid w:val="15A0323D"/>
    <w:rsid w:val="15B7772E"/>
    <w:rsid w:val="15BE553B"/>
    <w:rsid w:val="15E03E14"/>
    <w:rsid w:val="15E4550B"/>
    <w:rsid w:val="15E9482E"/>
    <w:rsid w:val="15F57C14"/>
    <w:rsid w:val="161147C5"/>
    <w:rsid w:val="16177F64"/>
    <w:rsid w:val="16327956"/>
    <w:rsid w:val="16363DD3"/>
    <w:rsid w:val="16473F31"/>
    <w:rsid w:val="16597938"/>
    <w:rsid w:val="165B42A2"/>
    <w:rsid w:val="16653D7B"/>
    <w:rsid w:val="166A7A3B"/>
    <w:rsid w:val="16725680"/>
    <w:rsid w:val="16746DD1"/>
    <w:rsid w:val="168B0BBD"/>
    <w:rsid w:val="169C3C7F"/>
    <w:rsid w:val="16A3322F"/>
    <w:rsid w:val="16C120B7"/>
    <w:rsid w:val="16CD3708"/>
    <w:rsid w:val="16D51B5B"/>
    <w:rsid w:val="16D7712F"/>
    <w:rsid w:val="17191F74"/>
    <w:rsid w:val="176078E0"/>
    <w:rsid w:val="17654071"/>
    <w:rsid w:val="17704CFB"/>
    <w:rsid w:val="17870912"/>
    <w:rsid w:val="17916AE6"/>
    <w:rsid w:val="179D12F3"/>
    <w:rsid w:val="17AE49E6"/>
    <w:rsid w:val="17CD5A7B"/>
    <w:rsid w:val="17D60E96"/>
    <w:rsid w:val="17D735CF"/>
    <w:rsid w:val="17FF4932"/>
    <w:rsid w:val="18035F6A"/>
    <w:rsid w:val="181B501A"/>
    <w:rsid w:val="1830753E"/>
    <w:rsid w:val="18550589"/>
    <w:rsid w:val="185C58E1"/>
    <w:rsid w:val="186366A3"/>
    <w:rsid w:val="187A66B9"/>
    <w:rsid w:val="187F3411"/>
    <w:rsid w:val="1881324F"/>
    <w:rsid w:val="18937C22"/>
    <w:rsid w:val="18A246AF"/>
    <w:rsid w:val="18B26BC9"/>
    <w:rsid w:val="18CB5DBD"/>
    <w:rsid w:val="18E21372"/>
    <w:rsid w:val="18F32680"/>
    <w:rsid w:val="18F80417"/>
    <w:rsid w:val="18FE1274"/>
    <w:rsid w:val="192F165F"/>
    <w:rsid w:val="1935061F"/>
    <w:rsid w:val="194C5B92"/>
    <w:rsid w:val="195230E4"/>
    <w:rsid w:val="19565B90"/>
    <w:rsid w:val="195E3B99"/>
    <w:rsid w:val="196E4FB3"/>
    <w:rsid w:val="197314D4"/>
    <w:rsid w:val="199D7F3D"/>
    <w:rsid w:val="19C257AA"/>
    <w:rsid w:val="19C51AEA"/>
    <w:rsid w:val="19CE1BFF"/>
    <w:rsid w:val="19E27BFB"/>
    <w:rsid w:val="19F1587E"/>
    <w:rsid w:val="1A0F54E7"/>
    <w:rsid w:val="1A14504F"/>
    <w:rsid w:val="1A1C0B7B"/>
    <w:rsid w:val="1A3D0600"/>
    <w:rsid w:val="1A40430B"/>
    <w:rsid w:val="1A4C49E1"/>
    <w:rsid w:val="1A4E6968"/>
    <w:rsid w:val="1A754B6D"/>
    <w:rsid w:val="1A8E701D"/>
    <w:rsid w:val="1A9A126F"/>
    <w:rsid w:val="1AA4601E"/>
    <w:rsid w:val="1AA57168"/>
    <w:rsid w:val="1ABB3621"/>
    <w:rsid w:val="1ABF7C53"/>
    <w:rsid w:val="1ACE74AB"/>
    <w:rsid w:val="1ADE6206"/>
    <w:rsid w:val="1AE14356"/>
    <w:rsid w:val="1AE7452F"/>
    <w:rsid w:val="1AEF3B61"/>
    <w:rsid w:val="1AFD0AB1"/>
    <w:rsid w:val="1B073464"/>
    <w:rsid w:val="1B0B332F"/>
    <w:rsid w:val="1B3F05CB"/>
    <w:rsid w:val="1B49574A"/>
    <w:rsid w:val="1B4A29F8"/>
    <w:rsid w:val="1B5E2B2B"/>
    <w:rsid w:val="1B6202DE"/>
    <w:rsid w:val="1B836EB9"/>
    <w:rsid w:val="1BA06FEE"/>
    <w:rsid w:val="1BB22919"/>
    <w:rsid w:val="1BF27C58"/>
    <w:rsid w:val="1BF91505"/>
    <w:rsid w:val="1C064DE2"/>
    <w:rsid w:val="1C263D41"/>
    <w:rsid w:val="1C4246FD"/>
    <w:rsid w:val="1C5D782E"/>
    <w:rsid w:val="1C6673DB"/>
    <w:rsid w:val="1C6A1BB2"/>
    <w:rsid w:val="1C726F5B"/>
    <w:rsid w:val="1C8658F9"/>
    <w:rsid w:val="1C954CA8"/>
    <w:rsid w:val="1CA216CF"/>
    <w:rsid w:val="1CB35F24"/>
    <w:rsid w:val="1CC529AF"/>
    <w:rsid w:val="1CC914E2"/>
    <w:rsid w:val="1D031FA5"/>
    <w:rsid w:val="1D256D06"/>
    <w:rsid w:val="1D700D25"/>
    <w:rsid w:val="1DA1677A"/>
    <w:rsid w:val="1DA41341"/>
    <w:rsid w:val="1DA90A2F"/>
    <w:rsid w:val="1DBD76E9"/>
    <w:rsid w:val="1DD56C10"/>
    <w:rsid w:val="1DD60F22"/>
    <w:rsid w:val="1DD6639F"/>
    <w:rsid w:val="1DD91315"/>
    <w:rsid w:val="1DE55E1B"/>
    <w:rsid w:val="1DE83C3F"/>
    <w:rsid w:val="1DEA2636"/>
    <w:rsid w:val="1E015BFF"/>
    <w:rsid w:val="1E160478"/>
    <w:rsid w:val="1E261FEC"/>
    <w:rsid w:val="1E4A5D6E"/>
    <w:rsid w:val="1E5D014C"/>
    <w:rsid w:val="1E625159"/>
    <w:rsid w:val="1E6C052F"/>
    <w:rsid w:val="1E8017FF"/>
    <w:rsid w:val="1E8A1312"/>
    <w:rsid w:val="1EB31B66"/>
    <w:rsid w:val="1EB529F8"/>
    <w:rsid w:val="1EC035D7"/>
    <w:rsid w:val="1EC53CB0"/>
    <w:rsid w:val="1ED74678"/>
    <w:rsid w:val="1EF17AB3"/>
    <w:rsid w:val="1F0A0750"/>
    <w:rsid w:val="1F1F4D17"/>
    <w:rsid w:val="1F630DDF"/>
    <w:rsid w:val="1F8A3BD5"/>
    <w:rsid w:val="1FE63CE8"/>
    <w:rsid w:val="200C1B89"/>
    <w:rsid w:val="20254C14"/>
    <w:rsid w:val="20381100"/>
    <w:rsid w:val="204127AD"/>
    <w:rsid w:val="204C2272"/>
    <w:rsid w:val="20531417"/>
    <w:rsid w:val="205E7BE3"/>
    <w:rsid w:val="208712AD"/>
    <w:rsid w:val="208A18F1"/>
    <w:rsid w:val="208D63E6"/>
    <w:rsid w:val="20943FF9"/>
    <w:rsid w:val="20A200E4"/>
    <w:rsid w:val="20A506BA"/>
    <w:rsid w:val="20AD2365"/>
    <w:rsid w:val="20BD271A"/>
    <w:rsid w:val="20CD7415"/>
    <w:rsid w:val="20EA2C10"/>
    <w:rsid w:val="20ED77F9"/>
    <w:rsid w:val="20F33AB0"/>
    <w:rsid w:val="20F63843"/>
    <w:rsid w:val="20FE18B0"/>
    <w:rsid w:val="21376EA4"/>
    <w:rsid w:val="213E3F71"/>
    <w:rsid w:val="21513A3C"/>
    <w:rsid w:val="215A766D"/>
    <w:rsid w:val="21667FDB"/>
    <w:rsid w:val="21756568"/>
    <w:rsid w:val="218A4F7E"/>
    <w:rsid w:val="219C1508"/>
    <w:rsid w:val="21BA7B57"/>
    <w:rsid w:val="21BD424A"/>
    <w:rsid w:val="21D21652"/>
    <w:rsid w:val="21D319B8"/>
    <w:rsid w:val="21D96C95"/>
    <w:rsid w:val="21FA5606"/>
    <w:rsid w:val="22046DF1"/>
    <w:rsid w:val="220A4513"/>
    <w:rsid w:val="22121299"/>
    <w:rsid w:val="222E6DF6"/>
    <w:rsid w:val="223042A0"/>
    <w:rsid w:val="22672737"/>
    <w:rsid w:val="22807C0C"/>
    <w:rsid w:val="229575D0"/>
    <w:rsid w:val="22AF297E"/>
    <w:rsid w:val="22B32E1B"/>
    <w:rsid w:val="22C02767"/>
    <w:rsid w:val="22CD6AE0"/>
    <w:rsid w:val="22D26956"/>
    <w:rsid w:val="22E94FF0"/>
    <w:rsid w:val="22F37B3A"/>
    <w:rsid w:val="230A37B1"/>
    <w:rsid w:val="234A6316"/>
    <w:rsid w:val="236906A5"/>
    <w:rsid w:val="2375481A"/>
    <w:rsid w:val="23765F46"/>
    <w:rsid w:val="23797368"/>
    <w:rsid w:val="23822B30"/>
    <w:rsid w:val="23B06B01"/>
    <w:rsid w:val="23B828A0"/>
    <w:rsid w:val="23E96088"/>
    <w:rsid w:val="23EE120B"/>
    <w:rsid w:val="23F8406C"/>
    <w:rsid w:val="2403705B"/>
    <w:rsid w:val="24066BDB"/>
    <w:rsid w:val="240C7924"/>
    <w:rsid w:val="24110B80"/>
    <w:rsid w:val="241D1A49"/>
    <w:rsid w:val="24453591"/>
    <w:rsid w:val="244F2331"/>
    <w:rsid w:val="24572D18"/>
    <w:rsid w:val="24841C1D"/>
    <w:rsid w:val="249D5D77"/>
    <w:rsid w:val="24B445FB"/>
    <w:rsid w:val="24BD6504"/>
    <w:rsid w:val="24C431D3"/>
    <w:rsid w:val="24C74F14"/>
    <w:rsid w:val="24D708E2"/>
    <w:rsid w:val="24DB0B9B"/>
    <w:rsid w:val="24DE5462"/>
    <w:rsid w:val="24E53CDB"/>
    <w:rsid w:val="24EC6623"/>
    <w:rsid w:val="24F5155A"/>
    <w:rsid w:val="24F66D5D"/>
    <w:rsid w:val="24FB6730"/>
    <w:rsid w:val="25122D57"/>
    <w:rsid w:val="25186BC6"/>
    <w:rsid w:val="251B6F7E"/>
    <w:rsid w:val="252515BC"/>
    <w:rsid w:val="252D2E7E"/>
    <w:rsid w:val="253A16FC"/>
    <w:rsid w:val="25787665"/>
    <w:rsid w:val="257B4811"/>
    <w:rsid w:val="258969EA"/>
    <w:rsid w:val="25B9703D"/>
    <w:rsid w:val="25CD2004"/>
    <w:rsid w:val="25F5013E"/>
    <w:rsid w:val="25FA1B9D"/>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F237CD"/>
    <w:rsid w:val="27057CC8"/>
    <w:rsid w:val="2719754A"/>
    <w:rsid w:val="2725126B"/>
    <w:rsid w:val="274301C4"/>
    <w:rsid w:val="274C2D2B"/>
    <w:rsid w:val="27525FCD"/>
    <w:rsid w:val="2796594E"/>
    <w:rsid w:val="279A4979"/>
    <w:rsid w:val="27BC024E"/>
    <w:rsid w:val="27BE3E87"/>
    <w:rsid w:val="27C17045"/>
    <w:rsid w:val="27C35275"/>
    <w:rsid w:val="28243568"/>
    <w:rsid w:val="283167B4"/>
    <w:rsid w:val="284A431A"/>
    <w:rsid w:val="285C5812"/>
    <w:rsid w:val="28682A73"/>
    <w:rsid w:val="28811CA6"/>
    <w:rsid w:val="288625C5"/>
    <w:rsid w:val="289A39CA"/>
    <w:rsid w:val="289B334C"/>
    <w:rsid w:val="289D577F"/>
    <w:rsid w:val="28AA1F85"/>
    <w:rsid w:val="28C41BEE"/>
    <w:rsid w:val="28E404D9"/>
    <w:rsid w:val="28F4407D"/>
    <w:rsid w:val="291138C7"/>
    <w:rsid w:val="29120E51"/>
    <w:rsid w:val="29174ED6"/>
    <w:rsid w:val="2964062C"/>
    <w:rsid w:val="29713020"/>
    <w:rsid w:val="29733D9F"/>
    <w:rsid w:val="297B24B1"/>
    <w:rsid w:val="298A664D"/>
    <w:rsid w:val="29921F81"/>
    <w:rsid w:val="29A61468"/>
    <w:rsid w:val="29BC7ED8"/>
    <w:rsid w:val="29BE37C1"/>
    <w:rsid w:val="29C550B9"/>
    <w:rsid w:val="29DD03DE"/>
    <w:rsid w:val="2A037D87"/>
    <w:rsid w:val="2A257690"/>
    <w:rsid w:val="2A257B34"/>
    <w:rsid w:val="2A300308"/>
    <w:rsid w:val="2A5039D7"/>
    <w:rsid w:val="2A663BD3"/>
    <w:rsid w:val="2A665688"/>
    <w:rsid w:val="2A677BD1"/>
    <w:rsid w:val="2A715F1E"/>
    <w:rsid w:val="2A7824EB"/>
    <w:rsid w:val="2A7D74CC"/>
    <w:rsid w:val="2A7F4563"/>
    <w:rsid w:val="2A894BA9"/>
    <w:rsid w:val="2AB72260"/>
    <w:rsid w:val="2AC80784"/>
    <w:rsid w:val="2ACD65FF"/>
    <w:rsid w:val="2B02766B"/>
    <w:rsid w:val="2B1627CA"/>
    <w:rsid w:val="2B3959B8"/>
    <w:rsid w:val="2B3F4C1F"/>
    <w:rsid w:val="2B452058"/>
    <w:rsid w:val="2B4D1216"/>
    <w:rsid w:val="2B58393A"/>
    <w:rsid w:val="2B583CDC"/>
    <w:rsid w:val="2B8030A5"/>
    <w:rsid w:val="2BBB02AC"/>
    <w:rsid w:val="2BD6749E"/>
    <w:rsid w:val="2BDA3717"/>
    <w:rsid w:val="2BE06712"/>
    <w:rsid w:val="2BFC0B5D"/>
    <w:rsid w:val="2BFD459E"/>
    <w:rsid w:val="2C002162"/>
    <w:rsid w:val="2C095760"/>
    <w:rsid w:val="2C0D429C"/>
    <w:rsid w:val="2C0E2C60"/>
    <w:rsid w:val="2C4016E9"/>
    <w:rsid w:val="2C4F5EBF"/>
    <w:rsid w:val="2C6E581C"/>
    <w:rsid w:val="2C717596"/>
    <w:rsid w:val="2C7A7AA0"/>
    <w:rsid w:val="2CA30589"/>
    <w:rsid w:val="2CA64AB8"/>
    <w:rsid w:val="2CB57056"/>
    <w:rsid w:val="2CC31B0E"/>
    <w:rsid w:val="2CD63492"/>
    <w:rsid w:val="2CDA6315"/>
    <w:rsid w:val="2CF31AC1"/>
    <w:rsid w:val="2D146D2C"/>
    <w:rsid w:val="2D155FB3"/>
    <w:rsid w:val="2D167200"/>
    <w:rsid w:val="2D3B7B03"/>
    <w:rsid w:val="2D440581"/>
    <w:rsid w:val="2D470656"/>
    <w:rsid w:val="2D493ADC"/>
    <w:rsid w:val="2D5171DB"/>
    <w:rsid w:val="2D55451C"/>
    <w:rsid w:val="2D5B158F"/>
    <w:rsid w:val="2D6B32A2"/>
    <w:rsid w:val="2D865C52"/>
    <w:rsid w:val="2DCC11F6"/>
    <w:rsid w:val="2DD30997"/>
    <w:rsid w:val="2DD7659F"/>
    <w:rsid w:val="2DD85F0E"/>
    <w:rsid w:val="2DF144D1"/>
    <w:rsid w:val="2DFB6036"/>
    <w:rsid w:val="2E037C91"/>
    <w:rsid w:val="2E0A198F"/>
    <w:rsid w:val="2E285745"/>
    <w:rsid w:val="2E3472AB"/>
    <w:rsid w:val="2E3D031C"/>
    <w:rsid w:val="2E491106"/>
    <w:rsid w:val="2E916CDE"/>
    <w:rsid w:val="2E916DEF"/>
    <w:rsid w:val="2EA41250"/>
    <w:rsid w:val="2EA86437"/>
    <w:rsid w:val="2EAC442C"/>
    <w:rsid w:val="2EB103B1"/>
    <w:rsid w:val="2F0F71E6"/>
    <w:rsid w:val="2F125BF3"/>
    <w:rsid w:val="2F13163F"/>
    <w:rsid w:val="2F164E7F"/>
    <w:rsid w:val="2F383A5C"/>
    <w:rsid w:val="2F393B56"/>
    <w:rsid w:val="2F3A7B8C"/>
    <w:rsid w:val="2F3E2418"/>
    <w:rsid w:val="2F4559EE"/>
    <w:rsid w:val="2F465EFB"/>
    <w:rsid w:val="2F4B2025"/>
    <w:rsid w:val="2F5954A4"/>
    <w:rsid w:val="2F6267F6"/>
    <w:rsid w:val="2F742945"/>
    <w:rsid w:val="2F92601C"/>
    <w:rsid w:val="2F9D4B14"/>
    <w:rsid w:val="2FBD0894"/>
    <w:rsid w:val="2FBE43F5"/>
    <w:rsid w:val="2FC53C32"/>
    <w:rsid w:val="2FC55B9D"/>
    <w:rsid w:val="2FD157C7"/>
    <w:rsid w:val="2FDE0D5C"/>
    <w:rsid w:val="2FEB40B1"/>
    <w:rsid w:val="2FFE794A"/>
    <w:rsid w:val="300A115E"/>
    <w:rsid w:val="301241C3"/>
    <w:rsid w:val="30296190"/>
    <w:rsid w:val="30296BB8"/>
    <w:rsid w:val="30452DBC"/>
    <w:rsid w:val="304759F0"/>
    <w:rsid w:val="308811B6"/>
    <w:rsid w:val="30881C59"/>
    <w:rsid w:val="309D4655"/>
    <w:rsid w:val="30C026F3"/>
    <w:rsid w:val="30D1097F"/>
    <w:rsid w:val="30EA4040"/>
    <w:rsid w:val="31022817"/>
    <w:rsid w:val="31340BB2"/>
    <w:rsid w:val="31460320"/>
    <w:rsid w:val="315423FA"/>
    <w:rsid w:val="315B7AEC"/>
    <w:rsid w:val="31710789"/>
    <w:rsid w:val="31747F20"/>
    <w:rsid w:val="317503B0"/>
    <w:rsid w:val="317A42EF"/>
    <w:rsid w:val="317E07B0"/>
    <w:rsid w:val="318551F1"/>
    <w:rsid w:val="31962CAB"/>
    <w:rsid w:val="31D53C4D"/>
    <w:rsid w:val="31E3590E"/>
    <w:rsid w:val="31E96B96"/>
    <w:rsid w:val="31EC3A7E"/>
    <w:rsid w:val="31F2254D"/>
    <w:rsid w:val="31F71A11"/>
    <w:rsid w:val="31FE12AB"/>
    <w:rsid w:val="320C542C"/>
    <w:rsid w:val="320E382B"/>
    <w:rsid w:val="321A185A"/>
    <w:rsid w:val="321B4537"/>
    <w:rsid w:val="32513A45"/>
    <w:rsid w:val="3253673D"/>
    <w:rsid w:val="325B682D"/>
    <w:rsid w:val="32B50B2C"/>
    <w:rsid w:val="32C84DFE"/>
    <w:rsid w:val="32D7610D"/>
    <w:rsid w:val="32FA3DAF"/>
    <w:rsid w:val="32FF7EB7"/>
    <w:rsid w:val="332D5F33"/>
    <w:rsid w:val="3337740D"/>
    <w:rsid w:val="33767155"/>
    <w:rsid w:val="337F1035"/>
    <w:rsid w:val="33805DA1"/>
    <w:rsid w:val="338C56E4"/>
    <w:rsid w:val="33934B2E"/>
    <w:rsid w:val="339441CF"/>
    <w:rsid w:val="33B60D2B"/>
    <w:rsid w:val="33B61BE4"/>
    <w:rsid w:val="33C37075"/>
    <w:rsid w:val="34062C68"/>
    <w:rsid w:val="341C738A"/>
    <w:rsid w:val="341E030F"/>
    <w:rsid w:val="34234173"/>
    <w:rsid w:val="34257C99"/>
    <w:rsid w:val="34316D88"/>
    <w:rsid w:val="34350A74"/>
    <w:rsid w:val="344B3744"/>
    <w:rsid w:val="34585C1B"/>
    <w:rsid w:val="34791D7A"/>
    <w:rsid w:val="348F0A80"/>
    <w:rsid w:val="349158FD"/>
    <w:rsid w:val="349C2672"/>
    <w:rsid w:val="34A131A3"/>
    <w:rsid w:val="34A26022"/>
    <w:rsid w:val="34B0567F"/>
    <w:rsid w:val="34B443F6"/>
    <w:rsid w:val="34DF5353"/>
    <w:rsid w:val="34E12F4E"/>
    <w:rsid w:val="34EB31AA"/>
    <w:rsid w:val="34EC41DF"/>
    <w:rsid w:val="35040A33"/>
    <w:rsid w:val="350C1B78"/>
    <w:rsid w:val="350F723F"/>
    <w:rsid w:val="351A24AD"/>
    <w:rsid w:val="35255529"/>
    <w:rsid w:val="35273121"/>
    <w:rsid w:val="352F69D9"/>
    <w:rsid w:val="3531153C"/>
    <w:rsid w:val="354E123E"/>
    <w:rsid w:val="354F2AD2"/>
    <w:rsid w:val="355B5B18"/>
    <w:rsid w:val="355C42A6"/>
    <w:rsid w:val="357A3D87"/>
    <w:rsid w:val="35817F56"/>
    <w:rsid w:val="35827A7E"/>
    <w:rsid w:val="358D6E3D"/>
    <w:rsid w:val="35A70F55"/>
    <w:rsid w:val="35BC27FB"/>
    <w:rsid w:val="35C36B07"/>
    <w:rsid w:val="35C60438"/>
    <w:rsid w:val="35E421BA"/>
    <w:rsid w:val="35E96681"/>
    <w:rsid w:val="360D6591"/>
    <w:rsid w:val="361F2C5E"/>
    <w:rsid w:val="3629581E"/>
    <w:rsid w:val="363976F7"/>
    <w:rsid w:val="364816E0"/>
    <w:rsid w:val="36681B72"/>
    <w:rsid w:val="366E68DA"/>
    <w:rsid w:val="367D10F2"/>
    <w:rsid w:val="367F1281"/>
    <w:rsid w:val="36882044"/>
    <w:rsid w:val="369F292C"/>
    <w:rsid w:val="36BD137C"/>
    <w:rsid w:val="36C108E2"/>
    <w:rsid w:val="36CB1803"/>
    <w:rsid w:val="36E02E58"/>
    <w:rsid w:val="36E76E85"/>
    <w:rsid w:val="36F84B57"/>
    <w:rsid w:val="370C54DE"/>
    <w:rsid w:val="373A386A"/>
    <w:rsid w:val="374069C5"/>
    <w:rsid w:val="3751494E"/>
    <w:rsid w:val="375A24EA"/>
    <w:rsid w:val="375B7A97"/>
    <w:rsid w:val="37757EA8"/>
    <w:rsid w:val="3784494C"/>
    <w:rsid w:val="378967A1"/>
    <w:rsid w:val="37A56D79"/>
    <w:rsid w:val="37BC00E4"/>
    <w:rsid w:val="37C44EBB"/>
    <w:rsid w:val="37C859C7"/>
    <w:rsid w:val="37D62F7A"/>
    <w:rsid w:val="37E40AE8"/>
    <w:rsid w:val="3801173C"/>
    <w:rsid w:val="38023829"/>
    <w:rsid w:val="38060F79"/>
    <w:rsid w:val="38077FF1"/>
    <w:rsid w:val="381F7CAE"/>
    <w:rsid w:val="382905BD"/>
    <w:rsid w:val="38367CE6"/>
    <w:rsid w:val="38433388"/>
    <w:rsid w:val="38446261"/>
    <w:rsid w:val="38447A7A"/>
    <w:rsid w:val="384E5649"/>
    <w:rsid w:val="38746ABC"/>
    <w:rsid w:val="38761BD7"/>
    <w:rsid w:val="387C6B9D"/>
    <w:rsid w:val="38986175"/>
    <w:rsid w:val="389A24A2"/>
    <w:rsid w:val="38A92B31"/>
    <w:rsid w:val="38AE69D5"/>
    <w:rsid w:val="38C63525"/>
    <w:rsid w:val="38CC58A6"/>
    <w:rsid w:val="38D90F03"/>
    <w:rsid w:val="38E6503F"/>
    <w:rsid w:val="38E83745"/>
    <w:rsid w:val="38FC0060"/>
    <w:rsid w:val="38FC32F5"/>
    <w:rsid w:val="38FD17EE"/>
    <w:rsid w:val="39030A9D"/>
    <w:rsid w:val="39113643"/>
    <w:rsid w:val="39367504"/>
    <w:rsid w:val="393A37CB"/>
    <w:rsid w:val="393B35FD"/>
    <w:rsid w:val="393F0A9D"/>
    <w:rsid w:val="395B7C14"/>
    <w:rsid w:val="396866FD"/>
    <w:rsid w:val="39741B90"/>
    <w:rsid w:val="397E03C2"/>
    <w:rsid w:val="39BB3AC3"/>
    <w:rsid w:val="39BC3B6C"/>
    <w:rsid w:val="39C34753"/>
    <w:rsid w:val="39CE4CE2"/>
    <w:rsid w:val="39DF043A"/>
    <w:rsid w:val="39FE32B3"/>
    <w:rsid w:val="39FF59A7"/>
    <w:rsid w:val="3A06128C"/>
    <w:rsid w:val="3A070DC0"/>
    <w:rsid w:val="3A1C1961"/>
    <w:rsid w:val="3A2065C7"/>
    <w:rsid w:val="3A213653"/>
    <w:rsid w:val="3A3315EB"/>
    <w:rsid w:val="3A34378D"/>
    <w:rsid w:val="3A36160B"/>
    <w:rsid w:val="3A482CE3"/>
    <w:rsid w:val="3A5B3A12"/>
    <w:rsid w:val="3A623A31"/>
    <w:rsid w:val="3A6F51D2"/>
    <w:rsid w:val="3A7479F6"/>
    <w:rsid w:val="3AA50AA5"/>
    <w:rsid w:val="3AA54601"/>
    <w:rsid w:val="3AA6102D"/>
    <w:rsid w:val="3AAF36D1"/>
    <w:rsid w:val="3AC201D7"/>
    <w:rsid w:val="3AEB3C21"/>
    <w:rsid w:val="3AFB6043"/>
    <w:rsid w:val="3B041E40"/>
    <w:rsid w:val="3B191C47"/>
    <w:rsid w:val="3B205806"/>
    <w:rsid w:val="3B295FAA"/>
    <w:rsid w:val="3B30241A"/>
    <w:rsid w:val="3B5C6A72"/>
    <w:rsid w:val="3B5F1513"/>
    <w:rsid w:val="3B766EC9"/>
    <w:rsid w:val="3B7B475E"/>
    <w:rsid w:val="3B7F2CAA"/>
    <w:rsid w:val="3B8D3A66"/>
    <w:rsid w:val="3BAF51F7"/>
    <w:rsid w:val="3BB1025C"/>
    <w:rsid w:val="3BDA5440"/>
    <w:rsid w:val="3BEB3716"/>
    <w:rsid w:val="3C032BA6"/>
    <w:rsid w:val="3C1A13DF"/>
    <w:rsid w:val="3C3A4FEB"/>
    <w:rsid w:val="3C4F0EBB"/>
    <w:rsid w:val="3C577F8F"/>
    <w:rsid w:val="3C635FA0"/>
    <w:rsid w:val="3C8659AE"/>
    <w:rsid w:val="3C942B7F"/>
    <w:rsid w:val="3C9A1594"/>
    <w:rsid w:val="3CA66A58"/>
    <w:rsid w:val="3CB269B6"/>
    <w:rsid w:val="3CBE3C7C"/>
    <w:rsid w:val="3CC505C3"/>
    <w:rsid w:val="3CD165D4"/>
    <w:rsid w:val="3CD45BFF"/>
    <w:rsid w:val="3CE32014"/>
    <w:rsid w:val="3CE6704E"/>
    <w:rsid w:val="3CF316DB"/>
    <w:rsid w:val="3CF448DA"/>
    <w:rsid w:val="3D195E45"/>
    <w:rsid w:val="3D39355A"/>
    <w:rsid w:val="3D3C44DD"/>
    <w:rsid w:val="3D4838D3"/>
    <w:rsid w:val="3D5001A7"/>
    <w:rsid w:val="3D5211A5"/>
    <w:rsid w:val="3D5B3EF0"/>
    <w:rsid w:val="3D5C58DF"/>
    <w:rsid w:val="3D9214B7"/>
    <w:rsid w:val="3DA65146"/>
    <w:rsid w:val="3DA70C8F"/>
    <w:rsid w:val="3DB23DD9"/>
    <w:rsid w:val="3DB94353"/>
    <w:rsid w:val="3DC83A1D"/>
    <w:rsid w:val="3DE2598D"/>
    <w:rsid w:val="3DF57F08"/>
    <w:rsid w:val="3DF71C39"/>
    <w:rsid w:val="3E143052"/>
    <w:rsid w:val="3E282408"/>
    <w:rsid w:val="3E297594"/>
    <w:rsid w:val="3E390C78"/>
    <w:rsid w:val="3E500D27"/>
    <w:rsid w:val="3E541E49"/>
    <w:rsid w:val="3E573ADE"/>
    <w:rsid w:val="3E6D50FB"/>
    <w:rsid w:val="3E900B33"/>
    <w:rsid w:val="3EA55E90"/>
    <w:rsid w:val="3EB11068"/>
    <w:rsid w:val="3ECD0998"/>
    <w:rsid w:val="3ED508CA"/>
    <w:rsid w:val="3EF25E2A"/>
    <w:rsid w:val="3EF37398"/>
    <w:rsid w:val="3F1109BC"/>
    <w:rsid w:val="3F1B7587"/>
    <w:rsid w:val="3F805B16"/>
    <w:rsid w:val="3F867DC6"/>
    <w:rsid w:val="3F946522"/>
    <w:rsid w:val="3F9B06C8"/>
    <w:rsid w:val="3FA42170"/>
    <w:rsid w:val="3FAF36DB"/>
    <w:rsid w:val="3FE1257F"/>
    <w:rsid w:val="3FF5218F"/>
    <w:rsid w:val="40005F83"/>
    <w:rsid w:val="40361272"/>
    <w:rsid w:val="404755B9"/>
    <w:rsid w:val="40483255"/>
    <w:rsid w:val="4050373A"/>
    <w:rsid w:val="40573B9C"/>
    <w:rsid w:val="405759DA"/>
    <w:rsid w:val="406A14B3"/>
    <w:rsid w:val="40775B2C"/>
    <w:rsid w:val="407C15D8"/>
    <w:rsid w:val="407D712F"/>
    <w:rsid w:val="40837754"/>
    <w:rsid w:val="408D4C9C"/>
    <w:rsid w:val="409D1B0D"/>
    <w:rsid w:val="40C479CE"/>
    <w:rsid w:val="40C801C3"/>
    <w:rsid w:val="40DE11F9"/>
    <w:rsid w:val="40E80239"/>
    <w:rsid w:val="40F97CA8"/>
    <w:rsid w:val="410B29F4"/>
    <w:rsid w:val="41171B69"/>
    <w:rsid w:val="41200E85"/>
    <w:rsid w:val="412C1F7C"/>
    <w:rsid w:val="413B47F5"/>
    <w:rsid w:val="41415E9E"/>
    <w:rsid w:val="414913C8"/>
    <w:rsid w:val="41623641"/>
    <w:rsid w:val="41635215"/>
    <w:rsid w:val="41883A8E"/>
    <w:rsid w:val="418A60B4"/>
    <w:rsid w:val="41943621"/>
    <w:rsid w:val="41A908CE"/>
    <w:rsid w:val="41B370D6"/>
    <w:rsid w:val="41B71371"/>
    <w:rsid w:val="41DC3C92"/>
    <w:rsid w:val="420B5567"/>
    <w:rsid w:val="42212582"/>
    <w:rsid w:val="423B574B"/>
    <w:rsid w:val="425C78EF"/>
    <w:rsid w:val="42625CA5"/>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146FF6"/>
    <w:rsid w:val="43253A06"/>
    <w:rsid w:val="433204F8"/>
    <w:rsid w:val="43364990"/>
    <w:rsid w:val="433C3AAA"/>
    <w:rsid w:val="4345322A"/>
    <w:rsid w:val="434C6DAF"/>
    <w:rsid w:val="43580CE8"/>
    <w:rsid w:val="43600192"/>
    <w:rsid w:val="436833F9"/>
    <w:rsid w:val="43964A1C"/>
    <w:rsid w:val="43E22B61"/>
    <w:rsid w:val="44031DB9"/>
    <w:rsid w:val="44330D9D"/>
    <w:rsid w:val="446660BF"/>
    <w:rsid w:val="447943E7"/>
    <w:rsid w:val="448C57E4"/>
    <w:rsid w:val="44B41FCD"/>
    <w:rsid w:val="44D15602"/>
    <w:rsid w:val="44DA16DC"/>
    <w:rsid w:val="44F46625"/>
    <w:rsid w:val="44F52628"/>
    <w:rsid w:val="454722BC"/>
    <w:rsid w:val="454C191C"/>
    <w:rsid w:val="45547C0E"/>
    <w:rsid w:val="4556652D"/>
    <w:rsid w:val="45861251"/>
    <w:rsid w:val="45862CC4"/>
    <w:rsid w:val="459911EE"/>
    <w:rsid w:val="4599227F"/>
    <w:rsid w:val="45BE024B"/>
    <w:rsid w:val="45BE2AD4"/>
    <w:rsid w:val="45C2437E"/>
    <w:rsid w:val="45EA2721"/>
    <w:rsid w:val="460A0745"/>
    <w:rsid w:val="46300B95"/>
    <w:rsid w:val="463A3C1C"/>
    <w:rsid w:val="466B2BA2"/>
    <w:rsid w:val="466E6ADA"/>
    <w:rsid w:val="46751787"/>
    <w:rsid w:val="4699240B"/>
    <w:rsid w:val="469E68DA"/>
    <w:rsid w:val="46B7014A"/>
    <w:rsid w:val="46CD397C"/>
    <w:rsid w:val="46ED5CA5"/>
    <w:rsid w:val="46FE4C6E"/>
    <w:rsid w:val="47062AB6"/>
    <w:rsid w:val="471517AC"/>
    <w:rsid w:val="471A6376"/>
    <w:rsid w:val="472620BF"/>
    <w:rsid w:val="472D53FB"/>
    <w:rsid w:val="475A659D"/>
    <w:rsid w:val="476207DA"/>
    <w:rsid w:val="47765740"/>
    <w:rsid w:val="47944B93"/>
    <w:rsid w:val="479C6241"/>
    <w:rsid w:val="47B14EAE"/>
    <w:rsid w:val="47B73055"/>
    <w:rsid w:val="47C00B3A"/>
    <w:rsid w:val="47C04462"/>
    <w:rsid w:val="47C96CD1"/>
    <w:rsid w:val="47D40048"/>
    <w:rsid w:val="47D84F8A"/>
    <w:rsid w:val="47DB6ABB"/>
    <w:rsid w:val="48083448"/>
    <w:rsid w:val="481823FF"/>
    <w:rsid w:val="48460696"/>
    <w:rsid w:val="48690DD9"/>
    <w:rsid w:val="486B54EB"/>
    <w:rsid w:val="4887121F"/>
    <w:rsid w:val="489C6467"/>
    <w:rsid w:val="48CB5B54"/>
    <w:rsid w:val="48F702B1"/>
    <w:rsid w:val="49147605"/>
    <w:rsid w:val="491C7E92"/>
    <w:rsid w:val="492910E2"/>
    <w:rsid w:val="492E569F"/>
    <w:rsid w:val="494A1301"/>
    <w:rsid w:val="494B446A"/>
    <w:rsid w:val="494C1416"/>
    <w:rsid w:val="494E1C27"/>
    <w:rsid w:val="4960323C"/>
    <w:rsid w:val="49616B54"/>
    <w:rsid w:val="496F6035"/>
    <w:rsid w:val="497F0713"/>
    <w:rsid w:val="49A36AB0"/>
    <w:rsid w:val="49A97E85"/>
    <w:rsid w:val="49D2118A"/>
    <w:rsid w:val="49D92DDD"/>
    <w:rsid w:val="49EF5321"/>
    <w:rsid w:val="4A034815"/>
    <w:rsid w:val="4A347F6C"/>
    <w:rsid w:val="4A3E7A99"/>
    <w:rsid w:val="4A444508"/>
    <w:rsid w:val="4A456A14"/>
    <w:rsid w:val="4A66451F"/>
    <w:rsid w:val="4A9D0D79"/>
    <w:rsid w:val="4A9D45B8"/>
    <w:rsid w:val="4A9F545E"/>
    <w:rsid w:val="4AAB056F"/>
    <w:rsid w:val="4AC261B1"/>
    <w:rsid w:val="4AF83412"/>
    <w:rsid w:val="4B08573B"/>
    <w:rsid w:val="4B0F5ABE"/>
    <w:rsid w:val="4B2C07B6"/>
    <w:rsid w:val="4B626F00"/>
    <w:rsid w:val="4B743C77"/>
    <w:rsid w:val="4B8B339F"/>
    <w:rsid w:val="4B952E6B"/>
    <w:rsid w:val="4BC53B5B"/>
    <w:rsid w:val="4BC802A5"/>
    <w:rsid w:val="4BCB28F4"/>
    <w:rsid w:val="4BCC5E72"/>
    <w:rsid w:val="4BE53FE4"/>
    <w:rsid w:val="4BF4451E"/>
    <w:rsid w:val="4BFC604B"/>
    <w:rsid w:val="4C1242C5"/>
    <w:rsid w:val="4C28087F"/>
    <w:rsid w:val="4C307D9F"/>
    <w:rsid w:val="4C340FD6"/>
    <w:rsid w:val="4C4A39CC"/>
    <w:rsid w:val="4C4D4AF8"/>
    <w:rsid w:val="4C6954C4"/>
    <w:rsid w:val="4C7309B9"/>
    <w:rsid w:val="4C744BB3"/>
    <w:rsid w:val="4C851F32"/>
    <w:rsid w:val="4C8A7C1C"/>
    <w:rsid w:val="4C964045"/>
    <w:rsid w:val="4C9A4355"/>
    <w:rsid w:val="4CC653D8"/>
    <w:rsid w:val="4CE2366D"/>
    <w:rsid w:val="4CF364F1"/>
    <w:rsid w:val="4CFB4F2C"/>
    <w:rsid w:val="4D010671"/>
    <w:rsid w:val="4D1755AE"/>
    <w:rsid w:val="4D227AF5"/>
    <w:rsid w:val="4D316B33"/>
    <w:rsid w:val="4D352FBB"/>
    <w:rsid w:val="4D412E72"/>
    <w:rsid w:val="4D743D8A"/>
    <w:rsid w:val="4D761B48"/>
    <w:rsid w:val="4D994499"/>
    <w:rsid w:val="4D9A14C4"/>
    <w:rsid w:val="4DA96C4E"/>
    <w:rsid w:val="4DAE5087"/>
    <w:rsid w:val="4DC360A2"/>
    <w:rsid w:val="4DCD4142"/>
    <w:rsid w:val="4DF70A62"/>
    <w:rsid w:val="4DFD4F82"/>
    <w:rsid w:val="4E0614E3"/>
    <w:rsid w:val="4E2452B7"/>
    <w:rsid w:val="4E372B5F"/>
    <w:rsid w:val="4E3746D6"/>
    <w:rsid w:val="4E407867"/>
    <w:rsid w:val="4E695109"/>
    <w:rsid w:val="4E92190F"/>
    <w:rsid w:val="4E9C3B92"/>
    <w:rsid w:val="4E9D6524"/>
    <w:rsid w:val="4EA37F59"/>
    <w:rsid w:val="4EAD1AF9"/>
    <w:rsid w:val="4EE23C1E"/>
    <w:rsid w:val="4EF02BEA"/>
    <w:rsid w:val="4F1913AC"/>
    <w:rsid w:val="4F4F5A65"/>
    <w:rsid w:val="4F5641E7"/>
    <w:rsid w:val="4F6426A9"/>
    <w:rsid w:val="4F6810CB"/>
    <w:rsid w:val="4F7A31F5"/>
    <w:rsid w:val="4F8D06C2"/>
    <w:rsid w:val="4F8E1D0C"/>
    <w:rsid w:val="4F930E86"/>
    <w:rsid w:val="4F9B22F5"/>
    <w:rsid w:val="4FA23B07"/>
    <w:rsid w:val="4FB3028B"/>
    <w:rsid w:val="4FB77179"/>
    <w:rsid w:val="4FB92CDA"/>
    <w:rsid w:val="4FC67739"/>
    <w:rsid w:val="4FE775A6"/>
    <w:rsid w:val="4FF54231"/>
    <w:rsid w:val="50077447"/>
    <w:rsid w:val="50115E97"/>
    <w:rsid w:val="501E292C"/>
    <w:rsid w:val="502F4C40"/>
    <w:rsid w:val="50343739"/>
    <w:rsid w:val="50623802"/>
    <w:rsid w:val="50652E94"/>
    <w:rsid w:val="506762F6"/>
    <w:rsid w:val="508700F4"/>
    <w:rsid w:val="50964338"/>
    <w:rsid w:val="50A970CD"/>
    <w:rsid w:val="50BC2266"/>
    <w:rsid w:val="50C72D83"/>
    <w:rsid w:val="50DA2757"/>
    <w:rsid w:val="50DD08D9"/>
    <w:rsid w:val="50EC664D"/>
    <w:rsid w:val="51385F35"/>
    <w:rsid w:val="51467324"/>
    <w:rsid w:val="5163596F"/>
    <w:rsid w:val="51642065"/>
    <w:rsid w:val="517B293B"/>
    <w:rsid w:val="51895F2D"/>
    <w:rsid w:val="51A0460E"/>
    <w:rsid w:val="51A60230"/>
    <w:rsid w:val="51A823AB"/>
    <w:rsid w:val="51AA33CE"/>
    <w:rsid w:val="51AF23C6"/>
    <w:rsid w:val="51CC648B"/>
    <w:rsid w:val="51D114A4"/>
    <w:rsid w:val="51E202B2"/>
    <w:rsid w:val="51FC6565"/>
    <w:rsid w:val="52030FE6"/>
    <w:rsid w:val="52065DA2"/>
    <w:rsid w:val="52153E58"/>
    <w:rsid w:val="521E1292"/>
    <w:rsid w:val="52294007"/>
    <w:rsid w:val="522E4D5D"/>
    <w:rsid w:val="524A71B5"/>
    <w:rsid w:val="52642695"/>
    <w:rsid w:val="526D3274"/>
    <w:rsid w:val="5279373F"/>
    <w:rsid w:val="528B1069"/>
    <w:rsid w:val="528D5BD8"/>
    <w:rsid w:val="528F0DD4"/>
    <w:rsid w:val="52930D7F"/>
    <w:rsid w:val="5296438C"/>
    <w:rsid w:val="52B93795"/>
    <w:rsid w:val="52D33C96"/>
    <w:rsid w:val="52FC79B0"/>
    <w:rsid w:val="530F2B4C"/>
    <w:rsid w:val="5311600C"/>
    <w:rsid w:val="53144C5A"/>
    <w:rsid w:val="53186F98"/>
    <w:rsid w:val="5334617E"/>
    <w:rsid w:val="537E6888"/>
    <w:rsid w:val="539068D9"/>
    <w:rsid w:val="53AE0CB6"/>
    <w:rsid w:val="53BE69F0"/>
    <w:rsid w:val="53CB1909"/>
    <w:rsid w:val="53D170F4"/>
    <w:rsid w:val="53D2774D"/>
    <w:rsid w:val="53D7536D"/>
    <w:rsid w:val="53E1541E"/>
    <w:rsid w:val="53E15798"/>
    <w:rsid w:val="54327630"/>
    <w:rsid w:val="5434742F"/>
    <w:rsid w:val="543A1E06"/>
    <w:rsid w:val="544F1C50"/>
    <w:rsid w:val="54606A92"/>
    <w:rsid w:val="54611A81"/>
    <w:rsid w:val="548B7048"/>
    <w:rsid w:val="54D42F61"/>
    <w:rsid w:val="54D637EA"/>
    <w:rsid w:val="54DC110F"/>
    <w:rsid w:val="54F57984"/>
    <w:rsid w:val="55254496"/>
    <w:rsid w:val="55563FAE"/>
    <w:rsid w:val="55671A8F"/>
    <w:rsid w:val="557D655D"/>
    <w:rsid w:val="55846FDD"/>
    <w:rsid w:val="558933C3"/>
    <w:rsid w:val="55B177EA"/>
    <w:rsid w:val="55B369F5"/>
    <w:rsid w:val="55CD48C4"/>
    <w:rsid w:val="55E149E8"/>
    <w:rsid w:val="55EE4AC6"/>
    <w:rsid w:val="560C425A"/>
    <w:rsid w:val="56116B32"/>
    <w:rsid w:val="562365CA"/>
    <w:rsid w:val="56340430"/>
    <w:rsid w:val="563A60ED"/>
    <w:rsid w:val="563C6542"/>
    <w:rsid w:val="56581D59"/>
    <w:rsid w:val="56650EF9"/>
    <w:rsid w:val="566F5EBB"/>
    <w:rsid w:val="56812193"/>
    <w:rsid w:val="568502CA"/>
    <w:rsid w:val="56B0773B"/>
    <w:rsid w:val="56C254B7"/>
    <w:rsid w:val="56E65920"/>
    <w:rsid w:val="5709588E"/>
    <w:rsid w:val="570C5D6D"/>
    <w:rsid w:val="571760EF"/>
    <w:rsid w:val="571F7ADE"/>
    <w:rsid w:val="57347ABD"/>
    <w:rsid w:val="575A5F07"/>
    <w:rsid w:val="575D0755"/>
    <w:rsid w:val="5778214B"/>
    <w:rsid w:val="57792910"/>
    <w:rsid w:val="5781180D"/>
    <w:rsid w:val="57C77D46"/>
    <w:rsid w:val="57CF4F1B"/>
    <w:rsid w:val="58142F00"/>
    <w:rsid w:val="58201757"/>
    <w:rsid w:val="58342B4F"/>
    <w:rsid w:val="584F76B9"/>
    <w:rsid w:val="58514364"/>
    <w:rsid w:val="585818C8"/>
    <w:rsid w:val="58602168"/>
    <w:rsid w:val="5860738B"/>
    <w:rsid w:val="58674B73"/>
    <w:rsid w:val="587342B3"/>
    <w:rsid w:val="58AB4E89"/>
    <w:rsid w:val="58AD7356"/>
    <w:rsid w:val="58B5550E"/>
    <w:rsid w:val="58BD5C76"/>
    <w:rsid w:val="58C11261"/>
    <w:rsid w:val="58C34E9B"/>
    <w:rsid w:val="58CB74D0"/>
    <w:rsid w:val="58D20175"/>
    <w:rsid w:val="58E233C9"/>
    <w:rsid w:val="591A393C"/>
    <w:rsid w:val="592F31FE"/>
    <w:rsid w:val="59303772"/>
    <w:rsid w:val="59340E0B"/>
    <w:rsid w:val="594B41E0"/>
    <w:rsid w:val="59854F0A"/>
    <w:rsid w:val="598D20E5"/>
    <w:rsid w:val="59975605"/>
    <w:rsid w:val="59AD7B0E"/>
    <w:rsid w:val="59B73D81"/>
    <w:rsid w:val="59CD28EC"/>
    <w:rsid w:val="59D55070"/>
    <w:rsid w:val="59D55FBA"/>
    <w:rsid w:val="59DA18AC"/>
    <w:rsid w:val="59E546A4"/>
    <w:rsid w:val="59FD6E5D"/>
    <w:rsid w:val="5A0304DD"/>
    <w:rsid w:val="5A2F5AF5"/>
    <w:rsid w:val="5A4439EB"/>
    <w:rsid w:val="5A554343"/>
    <w:rsid w:val="5A637B38"/>
    <w:rsid w:val="5A6B7DBF"/>
    <w:rsid w:val="5A8C0168"/>
    <w:rsid w:val="5A8D1386"/>
    <w:rsid w:val="5A93303B"/>
    <w:rsid w:val="5AA116D7"/>
    <w:rsid w:val="5ABB6C3C"/>
    <w:rsid w:val="5AC245CB"/>
    <w:rsid w:val="5ACD1F77"/>
    <w:rsid w:val="5ACD77B4"/>
    <w:rsid w:val="5AF81615"/>
    <w:rsid w:val="5AFF7905"/>
    <w:rsid w:val="5B1836AE"/>
    <w:rsid w:val="5B433721"/>
    <w:rsid w:val="5B492C91"/>
    <w:rsid w:val="5B5D57A1"/>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A56F1"/>
    <w:rsid w:val="5C9D06C7"/>
    <w:rsid w:val="5CA61CCA"/>
    <w:rsid w:val="5CC73DD6"/>
    <w:rsid w:val="5CDC7430"/>
    <w:rsid w:val="5CEA2522"/>
    <w:rsid w:val="5CEC3FB3"/>
    <w:rsid w:val="5CF2777D"/>
    <w:rsid w:val="5D0D01B7"/>
    <w:rsid w:val="5D2708E3"/>
    <w:rsid w:val="5D313B8C"/>
    <w:rsid w:val="5D664D05"/>
    <w:rsid w:val="5D6E48CE"/>
    <w:rsid w:val="5D7C584C"/>
    <w:rsid w:val="5D7D3C0A"/>
    <w:rsid w:val="5D7F0635"/>
    <w:rsid w:val="5D894E7F"/>
    <w:rsid w:val="5D8D080D"/>
    <w:rsid w:val="5D935CE3"/>
    <w:rsid w:val="5DA402F0"/>
    <w:rsid w:val="5DB501CC"/>
    <w:rsid w:val="5DBF6493"/>
    <w:rsid w:val="5DC05209"/>
    <w:rsid w:val="5DC12605"/>
    <w:rsid w:val="5DFC50BD"/>
    <w:rsid w:val="5E000CA6"/>
    <w:rsid w:val="5E3A6AA2"/>
    <w:rsid w:val="5E3D55BB"/>
    <w:rsid w:val="5E3E4C2D"/>
    <w:rsid w:val="5E524678"/>
    <w:rsid w:val="5E5867E1"/>
    <w:rsid w:val="5E674F7E"/>
    <w:rsid w:val="5E7739AC"/>
    <w:rsid w:val="5E874CE8"/>
    <w:rsid w:val="5E8D71DE"/>
    <w:rsid w:val="5E977253"/>
    <w:rsid w:val="5E9D1B20"/>
    <w:rsid w:val="5EB00E5C"/>
    <w:rsid w:val="5EBD69F6"/>
    <w:rsid w:val="5ED35331"/>
    <w:rsid w:val="5EE37831"/>
    <w:rsid w:val="5EEB7859"/>
    <w:rsid w:val="5F04522D"/>
    <w:rsid w:val="5F077A1D"/>
    <w:rsid w:val="5F0A3D5F"/>
    <w:rsid w:val="5F103799"/>
    <w:rsid w:val="5F213F68"/>
    <w:rsid w:val="5F247EC6"/>
    <w:rsid w:val="5F2F6349"/>
    <w:rsid w:val="5F583929"/>
    <w:rsid w:val="5F58537A"/>
    <w:rsid w:val="5F600D4E"/>
    <w:rsid w:val="5F6E5812"/>
    <w:rsid w:val="5F883F49"/>
    <w:rsid w:val="5F8E3078"/>
    <w:rsid w:val="5F956DDF"/>
    <w:rsid w:val="5F991667"/>
    <w:rsid w:val="5FA416F1"/>
    <w:rsid w:val="5FB9411A"/>
    <w:rsid w:val="5FD064E9"/>
    <w:rsid w:val="5FD93954"/>
    <w:rsid w:val="5FDC55D3"/>
    <w:rsid w:val="5FE77994"/>
    <w:rsid w:val="5FEA0D46"/>
    <w:rsid w:val="5FF469EE"/>
    <w:rsid w:val="5FF7277A"/>
    <w:rsid w:val="5FFB0094"/>
    <w:rsid w:val="5FFE6181"/>
    <w:rsid w:val="60102099"/>
    <w:rsid w:val="60160416"/>
    <w:rsid w:val="60190BEB"/>
    <w:rsid w:val="60211CCF"/>
    <w:rsid w:val="60305CC7"/>
    <w:rsid w:val="604672E7"/>
    <w:rsid w:val="604A1238"/>
    <w:rsid w:val="606107A7"/>
    <w:rsid w:val="60766F5E"/>
    <w:rsid w:val="609D4E6C"/>
    <w:rsid w:val="60A62DBA"/>
    <w:rsid w:val="60AD5A40"/>
    <w:rsid w:val="60C03CCF"/>
    <w:rsid w:val="60D42D03"/>
    <w:rsid w:val="60DC1E15"/>
    <w:rsid w:val="60E62C9D"/>
    <w:rsid w:val="611B62E0"/>
    <w:rsid w:val="61287940"/>
    <w:rsid w:val="615E501E"/>
    <w:rsid w:val="616B1851"/>
    <w:rsid w:val="6180773A"/>
    <w:rsid w:val="618B0BA0"/>
    <w:rsid w:val="61A06374"/>
    <w:rsid w:val="61AA1B15"/>
    <w:rsid w:val="61AE5E6B"/>
    <w:rsid w:val="6221139D"/>
    <w:rsid w:val="622470A5"/>
    <w:rsid w:val="62247F4C"/>
    <w:rsid w:val="622540F5"/>
    <w:rsid w:val="622D2FAA"/>
    <w:rsid w:val="624375DB"/>
    <w:rsid w:val="625D25EA"/>
    <w:rsid w:val="625D6144"/>
    <w:rsid w:val="6265408D"/>
    <w:rsid w:val="62734B1F"/>
    <w:rsid w:val="62857C4E"/>
    <w:rsid w:val="6286607D"/>
    <w:rsid w:val="62A62781"/>
    <w:rsid w:val="62D73E14"/>
    <w:rsid w:val="62E05FC6"/>
    <w:rsid w:val="62E358BC"/>
    <w:rsid w:val="62E53885"/>
    <w:rsid w:val="62FD3864"/>
    <w:rsid w:val="63464F7D"/>
    <w:rsid w:val="634B0772"/>
    <w:rsid w:val="6352719B"/>
    <w:rsid w:val="635D78BF"/>
    <w:rsid w:val="636D244C"/>
    <w:rsid w:val="636E387A"/>
    <w:rsid w:val="636E7A2E"/>
    <w:rsid w:val="63807D81"/>
    <w:rsid w:val="63815A2A"/>
    <w:rsid w:val="638671AD"/>
    <w:rsid w:val="63877E7E"/>
    <w:rsid w:val="63AB24E0"/>
    <w:rsid w:val="63BF7E8E"/>
    <w:rsid w:val="63C01CBD"/>
    <w:rsid w:val="63E257EE"/>
    <w:rsid w:val="63EC3837"/>
    <w:rsid w:val="63FC4F9D"/>
    <w:rsid w:val="640A3035"/>
    <w:rsid w:val="64176A77"/>
    <w:rsid w:val="643F3D04"/>
    <w:rsid w:val="644204E6"/>
    <w:rsid w:val="644B74BB"/>
    <w:rsid w:val="645906E4"/>
    <w:rsid w:val="64635DFB"/>
    <w:rsid w:val="64683A23"/>
    <w:rsid w:val="646A4041"/>
    <w:rsid w:val="648A05F8"/>
    <w:rsid w:val="64942E6C"/>
    <w:rsid w:val="64AE1C9E"/>
    <w:rsid w:val="64AF3910"/>
    <w:rsid w:val="64BA3EF4"/>
    <w:rsid w:val="64BC2C9E"/>
    <w:rsid w:val="64C626B7"/>
    <w:rsid w:val="64D57287"/>
    <w:rsid w:val="64E918AA"/>
    <w:rsid w:val="65252157"/>
    <w:rsid w:val="652B0AFB"/>
    <w:rsid w:val="65411462"/>
    <w:rsid w:val="65683151"/>
    <w:rsid w:val="658066C4"/>
    <w:rsid w:val="65875B1F"/>
    <w:rsid w:val="65912A7B"/>
    <w:rsid w:val="65A90FD6"/>
    <w:rsid w:val="65E74C3F"/>
    <w:rsid w:val="65F63BD4"/>
    <w:rsid w:val="660428AE"/>
    <w:rsid w:val="660D1E09"/>
    <w:rsid w:val="660E4242"/>
    <w:rsid w:val="662519F4"/>
    <w:rsid w:val="662E5C6D"/>
    <w:rsid w:val="66354951"/>
    <w:rsid w:val="666A2C09"/>
    <w:rsid w:val="667207E5"/>
    <w:rsid w:val="6679092A"/>
    <w:rsid w:val="669315AD"/>
    <w:rsid w:val="66B23313"/>
    <w:rsid w:val="66BA2385"/>
    <w:rsid w:val="66DB09CF"/>
    <w:rsid w:val="66E77739"/>
    <w:rsid w:val="66E96680"/>
    <w:rsid w:val="66F422E8"/>
    <w:rsid w:val="67237A0F"/>
    <w:rsid w:val="67461374"/>
    <w:rsid w:val="67487CFE"/>
    <w:rsid w:val="6764121C"/>
    <w:rsid w:val="67695728"/>
    <w:rsid w:val="676A4DBB"/>
    <w:rsid w:val="676F7B1B"/>
    <w:rsid w:val="677038E2"/>
    <w:rsid w:val="677777A9"/>
    <w:rsid w:val="67844587"/>
    <w:rsid w:val="67B43783"/>
    <w:rsid w:val="67B70B13"/>
    <w:rsid w:val="67B92A72"/>
    <w:rsid w:val="67BA25BB"/>
    <w:rsid w:val="67C24235"/>
    <w:rsid w:val="67D547C2"/>
    <w:rsid w:val="67E62186"/>
    <w:rsid w:val="67FA0E09"/>
    <w:rsid w:val="68075EA1"/>
    <w:rsid w:val="680E4B82"/>
    <w:rsid w:val="680F5A0F"/>
    <w:rsid w:val="68233F9E"/>
    <w:rsid w:val="68277A88"/>
    <w:rsid w:val="684F660F"/>
    <w:rsid w:val="686831F8"/>
    <w:rsid w:val="687E435B"/>
    <w:rsid w:val="689340A3"/>
    <w:rsid w:val="68A12E72"/>
    <w:rsid w:val="68AD09A1"/>
    <w:rsid w:val="68AD2D34"/>
    <w:rsid w:val="68C65E6D"/>
    <w:rsid w:val="68D63EC7"/>
    <w:rsid w:val="68DC73EC"/>
    <w:rsid w:val="69054B5C"/>
    <w:rsid w:val="691724F7"/>
    <w:rsid w:val="69293200"/>
    <w:rsid w:val="694347AF"/>
    <w:rsid w:val="694F06EB"/>
    <w:rsid w:val="695D329A"/>
    <w:rsid w:val="6963607F"/>
    <w:rsid w:val="696403F8"/>
    <w:rsid w:val="69766916"/>
    <w:rsid w:val="697B001E"/>
    <w:rsid w:val="698D63CB"/>
    <w:rsid w:val="698F77F4"/>
    <w:rsid w:val="69B23B9D"/>
    <w:rsid w:val="69B5510C"/>
    <w:rsid w:val="69E01F40"/>
    <w:rsid w:val="69E82867"/>
    <w:rsid w:val="69F570F2"/>
    <w:rsid w:val="69F61419"/>
    <w:rsid w:val="6A086F70"/>
    <w:rsid w:val="6A1D2386"/>
    <w:rsid w:val="6A2C3B47"/>
    <w:rsid w:val="6A4C7071"/>
    <w:rsid w:val="6A540655"/>
    <w:rsid w:val="6A5B510D"/>
    <w:rsid w:val="6A5F2917"/>
    <w:rsid w:val="6A8D4C80"/>
    <w:rsid w:val="6AA159CB"/>
    <w:rsid w:val="6AA26939"/>
    <w:rsid w:val="6AA47DF1"/>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F34DB"/>
    <w:rsid w:val="6B6546F8"/>
    <w:rsid w:val="6B707214"/>
    <w:rsid w:val="6B8071B3"/>
    <w:rsid w:val="6B8C7291"/>
    <w:rsid w:val="6B9C69D2"/>
    <w:rsid w:val="6BB104FC"/>
    <w:rsid w:val="6BC75657"/>
    <w:rsid w:val="6BCC2D96"/>
    <w:rsid w:val="6BD126F0"/>
    <w:rsid w:val="6BE1773A"/>
    <w:rsid w:val="6BE35659"/>
    <w:rsid w:val="6C1F0271"/>
    <w:rsid w:val="6C2B66F7"/>
    <w:rsid w:val="6C3D3F08"/>
    <w:rsid w:val="6C5437FF"/>
    <w:rsid w:val="6C56491E"/>
    <w:rsid w:val="6C5B64F3"/>
    <w:rsid w:val="6C872F0E"/>
    <w:rsid w:val="6CB84F3A"/>
    <w:rsid w:val="6CC57E1D"/>
    <w:rsid w:val="6CD82729"/>
    <w:rsid w:val="6CE06979"/>
    <w:rsid w:val="6D05726A"/>
    <w:rsid w:val="6D157D2A"/>
    <w:rsid w:val="6D340FE2"/>
    <w:rsid w:val="6D342192"/>
    <w:rsid w:val="6D3867BF"/>
    <w:rsid w:val="6D5172EC"/>
    <w:rsid w:val="6D5D5933"/>
    <w:rsid w:val="6D660588"/>
    <w:rsid w:val="6D673555"/>
    <w:rsid w:val="6D717C1E"/>
    <w:rsid w:val="6D835CA4"/>
    <w:rsid w:val="6D91263F"/>
    <w:rsid w:val="6D92611A"/>
    <w:rsid w:val="6D964CE0"/>
    <w:rsid w:val="6D981B81"/>
    <w:rsid w:val="6D994274"/>
    <w:rsid w:val="6DA0764D"/>
    <w:rsid w:val="6DA9204B"/>
    <w:rsid w:val="6DB90857"/>
    <w:rsid w:val="6DC267F1"/>
    <w:rsid w:val="6DEF631E"/>
    <w:rsid w:val="6E032FC6"/>
    <w:rsid w:val="6E083615"/>
    <w:rsid w:val="6E0D26B4"/>
    <w:rsid w:val="6E146DCC"/>
    <w:rsid w:val="6E1A0F74"/>
    <w:rsid w:val="6E274398"/>
    <w:rsid w:val="6E360FB8"/>
    <w:rsid w:val="6E44084F"/>
    <w:rsid w:val="6E4A1D30"/>
    <w:rsid w:val="6E4F3DA5"/>
    <w:rsid w:val="6E5D06EF"/>
    <w:rsid w:val="6E6F0BB4"/>
    <w:rsid w:val="6E6F1D57"/>
    <w:rsid w:val="6E7A62E4"/>
    <w:rsid w:val="6E810051"/>
    <w:rsid w:val="6E9D2927"/>
    <w:rsid w:val="6EB25B0B"/>
    <w:rsid w:val="6EB80BA0"/>
    <w:rsid w:val="6EC15BA9"/>
    <w:rsid w:val="6ED37D90"/>
    <w:rsid w:val="6EE964AB"/>
    <w:rsid w:val="6EEE36C0"/>
    <w:rsid w:val="6F00046B"/>
    <w:rsid w:val="6F065AB6"/>
    <w:rsid w:val="6F0D2EC0"/>
    <w:rsid w:val="6F14284D"/>
    <w:rsid w:val="6F3364F9"/>
    <w:rsid w:val="6F3E34B9"/>
    <w:rsid w:val="6F441647"/>
    <w:rsid w:val="6F454CF8"/>
    <w:rsid w:val="6F4D0F66"/>
    <w:rsid w:val="6F505503"/>
    <w:rsid w:val="6F57424B"/>
    <w:rsid w:val="6F612830"/>
    <w:rsid w:val="6F784AF0"/>
    <w:rsid w:val="6F786B62"/>
    <w:rsid w:val="6F9E5543"/>
    <w:rsid w:val="6F9F112C"/>
    <w:rsid w:val="6FC02275"/>
    <w:rsid w:val="6FD10B10"/>
    <w:rsid w:val="6FDF6331"/>
    <w:rsid w:val="6FE61F22"/>
    <w:rsid w:val="6FFD00DA"/>
    <w:rsid w:val="70142638"/>
    <w:rsid w:val="70352925"/>
    <w:rsid w:val="703D4AF2"/>
    <w:rsid w:val="70505871"/>
    <w:rsid w:val="7059136B"/>
    <w:rsid w:val="705D0266"/>
    <w:rsid w:val="7067165B"/>
    <w:rsid w:val="706721E0"/>
    <w:rsid w:val="70696B44"/>
    <w:rsid w:val="706B4405"/>
    <w:rsid w:val="70801B07"/>
    <w:rsid w:val="70837266"/>
    <w:rsid w:val="708E1E55"/>
    <w:rsid w:val="709A7A5C"/>
    <w:rsid w:val="70A03182"/>
    <w:rsid w:val="70A1406F"/>
    <w:rsid w:val="70B0465E"/>
    <w:rsid w:val="70C361CB"/>
    <w:rsid w:val="70CD04F1"/>
    <w:rsid w:val="70D21E8D"/>
    <w:rsid w:val="70DF7D8D"/>
    <w:rsid w:val="70F2143B"/>
    <w:rsid w:val="70FE623D"/>
    <w:rsid w:val="71233682"/>
    <w:rsid w:val="71492A71"/>
    <w:rsid w:val="715251C2"/>
    <w:rsid w:val="715B171E"/>
    <w:rsid w:val="715B3C2A"/>
    <w:rsid w:val="716B29A1"/>
    <w:rsid w:val="717A163C"/>
    <w:rsid w:val="717F7444"/>
    <w:rsid w:val="71803C89"/>
    <w:rsid w:val="718507A9"/>
    <w:rsid w:val="71994E64"/>
    <w:rsid w:val="71A16FD7"/>
    <w:rsid w:val="71CA7676"/>
    <w:rsid w:val="71E05943"/>
    <w:rsid w:val="71E835F0"/>
    <w:rsid w:val="71EA7695"/>
    <w:rsid w:val="71EE7FB9"/>
    <w:rsid w:val="71F33B7F"/>
    <w:rsid w:val="721F5CC8"/>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872C5"/>
    <w:rsid w:val="732E0084"/>
    <w:rsid w:val="733A0808"/>
    <w:rsid w:val="73462E34"/>
    <w:rsid w:val="73463FFC"/>
    <w:rsid w:val="7360086A"/>
    <w:rsid w:val="73787BF3"/>
    <w:rsid w:val="739A0DC0"/>
    <w:rsid w:val="73B368F7"/>
    <w:rsid w:val="73B920B2"/>
    <w:rsid w:val="73C550FF"/>
    <w:rsid w:val="73C66419"/>
    <w:rsid w:val="74085669"/>
    <w:rsid w:val="740A4EF9"/>
    <w:rsid w:val="742206DA"/>
    <w:rsid w:val="74256793"/>
    <w:rsid w:val="74412921"/>
    <w:rsid w:val="74426682"/>
    <w:rsid w:val="74542867"/>
    <w:rsid w:val="74594423"/>
    <w:rsid w:val="7475710D"/>
    <w:rsid w:val="747621BD"/>
    <w:rsid w:val="74E60A71"/>
    <w:rsid w:val="74F17E67"/>
    <w:rsid w:val="74F75B59"/>
    <w:rsid w:val="750337C6"/>
    <w:rsid w:val="75086A21"/>
    <w:rsid w:val="750B356A"/>
    <w:rsid w:val="750C4DDC"/>
    <w:rsid w:val="7510569F"/>
    <w:rsid w:val="75291143"/>
    <w:rsid w:val="75442FF2"/>
    <w:rsid w:val="75536840"/>
    <w:rsid w:val="756950CA"/>
    <w:rsid w:val="756F18B8"/>
    <w:rsid w:val="75733B41"/>
    <w:rsid w:val="75774311"/>
    <w:rsid w:val="75922EAF"/>
    <w:rsid w:val="759C3F60"/>
    <w:rsid w:val="75AD28A1"/>
    <w:rsid w:val="75B545AA"/>
    <w:rsid w:val="75C224B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770A6"/>
    <w:rsid w:val="76C778EB"/>
    <w:rsid w:val="76CE7275"/>
    <w:rsid w:val="76E4362B"/>
    <w:rsid w:val="770070AD"/>
    <w:rsid w:val="770A1659"/>
    <w:rsid w:val="7711659E"/>
    <w:rsid w:val="7712242B"/>
    <w:rsid w:val="771F60E4"/>
    <w:rsid w:val="772164A5"/>
    <w:rsid w:val="77231D40"/>
    <w:rsid w:val="773134B4"/>
    <w:rsid w:val="773A7A8E"/>
    <w:rsid w:val="77466345"/>
    <w:rsid w:val="77471485"/>
    <w:rsid w:val="775B5A6C"/>
    <w:rsid w:val="776E33FB"/>
    <w:rsid w:val="777C2254"/>
    <w:rsid w:val="77814194"/>
    <w:rsid w:val="77825F67"/>
    <w:rsid w:val="77951211"/>
    <w:rsid w:val="77B91A42"/>
    <w:rsid w:val="77C5780E"/>
    <w:rsid w:val="77E26D03"/>
    <w:rsid w:val="77FE04E7"/>
    <w:rsid w:val="782F327E"/>
    <w:rsid w:val="78397A32"/>
    <w:rsid w:val="78503D15"/>
    <w:rsid w:val="78A06277"/>
    <w:rsid w:val="78C46F35"/>
    <w:rsid w:val="78C64F8E"/>
    <w:rsid w:val="78D538AA"/>
    <w:rsid w:val="78E06C96"/>
    <w:rsid w:val="78E43F65"/>
    <w:rsid w:val="79105016"/>
    <w:rsid w:val="791A1EB8"/>
    <w:rsid w:val="791E4FA3"/>
    <w:rsid w:val="792A3710"/>
    <w:rsid w:val="795F78E4"/>
    <w:rsid w:val="797167CA"/>
    <w:rsid w:val="7985038D"/>
    <w:rsid w:val="79872B48"/>
    <w:rsid w:val="798E4E1E"/>
    <w:rsid w:val="79903FCE"/>
    <w:rsid w:val="799E2AB3"/>
    <w:rsid w:val="79A37A59"/>
    <w:rsid w:val="79C61A14"/>
    <w:rsid w:val="79C7525D"/>
    <w:rsid w:val="79C85435"/>
    <w:rsid w:val="79D16AD3"/>
    <w:rsid w:val="79D749AE"/>
    <w:rsid w:val="79EE5B89"/>
    <w:rsid w:val="79F05A1B"/>
    <w:rsid w:val="7A020CA3"/>
    <w:rsid w:val="7A067805"/>
    <w:rsid w:val="7A112D9B"/>
    <w:rsid w:val="7A3666CE"/>
    <w:rsid w:val="7A376AEF"/>
    <w:rsid w:val="7A3A1FF1"/>
    <w:rsid w:val="7A3E47AD"/>
    <w:rsid w:val="7A3E570B"/>
    <w:rsid w:val="7A4576C5"/>
    <w:rsid w:val="7A4B2A2F"/>
    <w:rsid w:val="7A5A579E"/>
    <w:rsid w:val="7A627545"/>
    <w:rsid w:val="7A63326C"/>
    <w:rsid w:val="7A811C50"/>
    <w:rsid w:val="7A911969"/>
    <w:rsid w:val="7AA408FA"/>
    <w:rsid w:val="7B0E4231"/>
    <w:rsid w:val="7B123707"/>
    <w:rsid w:val="7B236D19"/>
    <w:rsid w:val="7B307625"/>
    <w:rsid w:val="7B347CEC"/>
    <w:rsid w:val="7B576B4E"/>
    <w:rsid w:val="7B761608"/>
    <w:rsid w:val="7B87133C"/>
    <w:rsid w:val="7B901A30"/>
    <w:rsid w:val="7B9234A2"/>
    <w:rsid w:val="7B9A6F74"/>
    <w:rsid w:val="7BA342E6"/>
    <w:rsid w:val="7BB5312F"/>
    <w:rsid w:val="7BCA404B"/>
    <w:rsid w:val="7BF748DA"/>
    <w:rsid w:val="7C105077"/>
    <w:rsid w:val="7C240B22"/>
    <w:rsid w:val="7C3810A9"/>
    <w:rsid w:val="7C416F95"/>
    <w:rsid w:val="7C4902F7"/>
    <w:rsid w:val="7C4E5B9F"/>
    <w:rsid w:val="7C580760"/>
    <w:rsid w:val="7C801E3D"/>
    <w:rsid w:val="7C8B3404"/>
    <w:rsid w:val="7C8D6ADA"/>
    <w:rsid w:val="7C9C47E0"/>
    <w:rsid w:val="7C9E070C"/>
    <w:rsid w:val="7C9F0D06"/>
    <w:rsid w:val="7CA773FF"/>
    <w:rsid w:val="7CA96D86"/>
    <w:rsid w:val="7CAC5CE3"/>
    <w:rsid w:val="7CAE22D0"/>
    <w:rsid w:val="7CBB152F"/>
    <w:rsid w:val="7CCF3C74"/>
    <w:rsid w:val="7CD05C51"/>
    <w:rsid w:val="7CD21154"/>
    <w:rsid w:val="7D295AE7"/>
    <w:rsid w:val="7D2C343C"/>
    <w:rsid w:val="7D4C3183"/>
    <w:rsid w:val="7D4E45E4"/>
    <w:rsid w:val="7D512FA5"/>
    <w:rsid w:val="7D5D12E3"/>
    <w:rsid w:val="7D5F378A"/>
    <w:rsid w:val="7D6440AF"/>
    <w:rsid w:val="7D9314F6"/>
    <w:rsid w:val="7D9B2963"/>
    <w:rsid w:val="7D9C06C0"/>
    <w:rsid w:val="7DB238AD"/>
    <w:rsid w:val="7DBE5AB2"/>
    <w:rsid w:val="7DDB441F"/>
    <w:rsid w:val="7E3C7282"/>
    <w:rsid w:val="7E4B1AB3"/>
    <w:rsid w:val="7E50194F"/>
    <w:rsid w:val="7E566731"/>
    <w:rsid w:val="7E58216F"/>
    <w:rsid w:val="7E58478A"/>
    <w:rsid w:val="7E70415D"/>
    <w:rsid w:val="7E78058B"/>
    <w:rsid w:val="7E7F1745"/>
    <w:rsid w:val="7E82725D"/>
    <w:rsid w:val="7E886BD8"/>
    <w:rsid w:val="7E922F1E"/>
    <w:rsid w:val="7E9C1A45"/>
    <w:rsid w:val="7EE82B3D"/>
    <w:rsid w:val="7EEF7176"/>
    <w:rsid w:val="7EF618DD"/>
    <w:rsid w:val="7F040773"/>
    <w:rsid w:val="7F044E27"/>
    <w:rsid w:val="7F57463A"/>
    <w:rsid w:val="7F5D7752"/>
    <w:rsid w:val="7F740514"/>
    <w:rsid w:val="7F7A668F"/>
    <w:rsid w:val="7F7C1BAA"/>
    <w:rsid w:val="7F91228D"/>
    <w:rsid w:val="7F980D98"/>
    <w:rsid w:val="7FA669B9"/>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oleObject" Target="embeddings/oleObject1.bin"/><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1490</Words>
  <Characters>7789</Characters>
  <Lines>52</Lines>
  <Paragraphs>14</Paragraphs>
  <TotalTime>3</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2025-11-07T09:06:50Z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1FC7EF1A5CE8466D80E157A41F2BB3D2_13</vt:lpwstr>
  </property>
  <property fmtid="{D5CDD505-2E9C-101B-9397-08002B2CF9AE}" pid="4" name="KSOTemplateDocerSaveRecord">
    <vt:lpwstr>eyJoZGlkIjoiMzEwNTM5NzYwMDRjMzkwZTVkZjY2ODkwMGIxNGU0OTUiLCJ1c2VySWQiOiI1MDQ0ODU3MTMifQ==</vt:lpwstr>
  </property>
</Properties>
</file>